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93" w:rsidRDefault="007D313C">
      <w:bookmarkStart w:id="0" w:name="_GoBack"/>
      <w:bookmarkEnd w:id="0"/>
      <w:r>
        <w:t>thtcg387650000A</w:t>
      </w:r>
    </w:p>
    <w:tbl>
      <w:tblPr>
        <w:tblW w:w="9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6"/>
        <w:gridCol w:w="7358"/>
      </w:tblGrid>
      <w:tr w:rsidR="007D313C" w:rsidRPr="007C5885" w:rsidTr="00D43493">
        <w:trPr>
          <w:cantSplit/>
          <w:trHeight w:val="655"/>
          <w:jc w:val="center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7D313C" w:rsidRPr="007C5885" w:rsidRDefault="007D313C" w:rsidP="00D43493">
            <w:pPr>
              <w:spacing w:line="4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6"/>
                <w:szCs w:val="26"/>
              </w:rPr>
              <w:br w:type="page"/>
            </w:r>
            <w:proofErr w:type="gramStart"/>
            <w:r w:rsidRPr="007C5885">
              <w:rPr>
                <w:rFonts w:ascii="標楷體" w:hAnsi="標楷體"/>
                <w:b/>
                <w:color w:val="000000"/>
                <w:szCs w:val="32"/>
              </w:rPr>
              <w:t>臺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中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市政府</w:t>
            </w:r>
            <w:r>
              <w:rPr>
                <w:rFonts w:ascii="標楷體" w:hAnsi="標楷體" w:hint="eastAsia"/>
                <w:b/>
                <w:color w:val="000000"/>
                <w:szCs w:val="32"/>
              </w:rPr>
              <w:t>「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透明獎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」公所</w:t>
            </w:r>
            <w:proofErr w:type="gramStart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廉能類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申請</w:t>
            </w:r>
            <w:proofErr w:type="gramEnd"/>
            <w:r w:rsidRPr="007C5885">
              <w:rPr>
                <w:rFonts w:ascii="標楷體" w:hAnsi="標楷體"/>
                <w:b/>
                <w:color w:val="000000"/>
                <w:szCs w:val="32"/>
              </w:rPr>
              <w:t>表</w:t>
            </w:r>
          </w:p>
        </w:tc>
      </w:tr>
      <w:tr w:rsidR="007D313C" w:rsidRPr="007C5885" w:rsidTr="00D43493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提案機關</w:t>
            </w:r>
          </w:p>
        </w:tc>
        <w:tc>
          <w:tcPr>
            <w:tcW w:w="7358" w:type="dxa"/>
            <w:vAlign w:val="center"/>
          </w:tcPr>
          <w:p w:rsidR="007D313C" w:rsidRPr="007C5885" w:rsidRDefault="007D313C" w:rsidP="00D43493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中市東勢區公所</w:t>
            </w:r>
          </w:p>
        </w:tc>
      </w:tr>
      <w:tr w:rsidR="007D313C" w:rsidRPr="007C5885" w:rsidTr="00D43493">
        <w:trPr>
          <w:cantSplit/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單位主管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職稱及姓名</w:t>
            </w:r>
          </w:p>
        </w:tc>
        <w:tc>
          <w:tcPr>
            <w:tcW w:w="7358" w:type="dxa"/>
            <w:vAlign w:val="center"/>
          </w:tcPr>
          <w:p w:rsidR="007D313C" w:rsidRPr="007C5885" w:rsidRDefault="007D313C" w:rsidP="00D43493">
            <w:pPr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秘書室主任林雅玲</w:t>
            </w:r>
          </w:p>
        </w:tc>
      </w:tr>
      <w:tr w:rsidR="007D313C" w:rsidRPr="007C5885" w:rsidTr="00D43493">
        <w:trPr>
          <w:cantSplit/>
          <w:trHeight w:val="892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主要辦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理</w:t>
            </w: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人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員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7D313C" w:rsidRPr="007C5885" w:rsidRDefault="007D313C" w:rsidP="00D43493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劉泰佑、採購業務</w:t>
            </w:r>
          </w:p>
        </w:tc>
      </w:tr>
      <w:tr w:rsidR="007D313C" w:rsidRPr="007C5885" w:rsidTr="00D43493">
        <w:trPr>
          <w:cantSplit/>
          <w:trHeight w:val="82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協助辦理人員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7D313C" w:rsidRPr="007C5885" w:rsidRDefault="007D313C" w:rsidP="00D43493">
            <w:pPr>
              <w:spacing w:line="440" w:lineRule="exact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7D313C" w:rsidRPr="007C5885" w:rsidTr="00D43493">
        <w:trPr>
          <w:cantSplit/>
          <w:trHeight w:val="77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透明化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措施名稱</w:t>
            </w:r>
          </w:p>
        </w:tc>
        <w:tc>
          <w:tcPr>
            <w:tcW w:w="7358" w:type="dxa"/>
          </w:tcPr>
          <w:p w:rsidR="007D313C" w:rsidRPr="007C5885" w:rsidRDefault="00E77260" w:rsidP="00D43493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77260">
              <w:rPr>
                <w:rFonts w:ascii="標楷體" w:hAnsi="標楷體" w:hint="eastAsia"/>
                <w:color w:val="000000"/>
                <w:sz w:val="28"/>
                <w:szCs w:val="28"/>
              </w:rPr>
              <w:t>提升採購發包現場透明度</w:t>
            </w:r>
          </w:p>
        </w:tc>
      </w:tr>
      <w:tr w:rsidR="007D313C" w:rsidRPr="007C5885" w:rsidTr="00D43493">
        <w:trPr>
          <w:cantSplit/>
          <w:trHeight w:val="97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7358" w:type="dxa"/>
          </w:tcPr>
          <w:p w:rsidR="007D313C" w:rsidRPr="007C5885" w:rsidRDefault="00412AF6" w:rsidP="00D43493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77260">
              <w:rPr>
                <w:rFonts w:ascii="標楷體" w:hAnsi="標楷體" w:hint="eastAsia"/>
                <w:color w:val="000000"/>
                <w:sz w:val="28"/>
                <w:szCs w:val="28"/>
              </w:rPr>
              <w:t>提升採購發包現場透明度</w:t>
            </w:r>
            <w:r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，旨在將</w:t>
            </w:r>
            <w:r w:rsidR="00E77260">
              <w:rPr>
                <w:rFonts w:ascii="Trebuchet MS" w:hAnsi="Trebuchet MS"/>
                <w:color w:val="666666"/>
                <w:sz w:val="20"/>
                <w:szCs w:val="20"/>
                <w:shd w:val="clear" w:color="auto" w:fill="FFFFFF"/>
              </w:rPr>
              <w:t>採購作業資訊公開化</w:t>
            </w:r>
            <w:r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，本所於</w:t>
            </w:r>
            <w:r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rebuchet MS" w:hAnsi="Trebuchet MS"/>
                <w:color w:val="666666"/>
                <w:sz w:val="20"/>
                <w:szCs w:val="20"/>
                <w:shd w:val="clear" w:color="auto" w:fill="FFFFFF"/>
              </w:rPr>
              <w:t>07</w:t>
            </w:r>
            <w:r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年開始，</w:t>
            </w:r>
            <w:r w:rsidR="00E77260">
              <w:rPr>
                <w:rFonts w:ascii="Trebuchet MS" w:hAnsi="Trebuchet MS"/>
                <w:color w:val="666666"/>
                <w:sz w:val="20"/>
                <w:szCs w:val="20"/>
                <w:shd w:val="clear" w:color="auto" w:fill="FFFFFF"/>
              </w:rPr>
              <w:t>辦理採購案件</w:t>
            </w:r>
            <w:r w:rsidR="00E77260"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時</w:t>
            </w:r>
            <w:r w:rsidR="00E77260">
              <w:rPr>
                <w:rFonts w:ascii="Trebuchet MS" w:hAnsi="Trebuchet MS"/>
                <w:color w:val="666666"/>
                <w:sz w:val="20"/>
                <w:szCs w:val="20"/>
                <w:shd w:val="clear" w:color="auto" w:fill="FFFFFF"/>
              </w:rPr>
              <w:t>，</w:t>
            </w:r>
            <w:r w:rsidR="00E77260"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除</w:t>
            </w:r>
            <w:r w:rsidR="00E77260">
              <w:rPr>
                <w:rFonts w:ascii="Trebuchet MS" w:hAnsi="Trebuchet MS"/>
                <w:color w:val="666666"/>
                <w:sz w:val="20"/>
                <w:szCs w:val="20"/>
                <w:shd w:val="clear" w:color="auto" w:fill="FFFFFF"/>
              </w:rPr>
              <w:t>確實依照政府採購法相關規定</w:t>
            </w:r>
            <w:r w:rsidR="00E77260"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外，便將採購相關作業資訊以電腦投影設備公開化，</w:t>
            </w:r>
            <w:r w:rsidR="00E77260">
              <w:rPr>
                <w:rFonts w:ascii="Trebuchet MS" w:hAnsi="Trebuchet MS"/>
                <w:color w:val="666666"/>
                <w:sz w:val="20"/>
                <w:szCs w:val="20"/>
                <w:shd w:val="clear" w:color="auto" w:fill="FFFFFF"/>
              </w:rPr>
              <w:t>讓廠商</w:t>
            </w:r>
            <w:r w:rsidR="00E77260"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、機關人員可輕易瞭解現場採購資訊，</w:t>
            </w:r>
            <w:r w:rsidR="00E77260">
              <w:rPr>
                <w:rFonts w:ascii="Trebuchet MS" w:hAnsi="Trebuchet MS"/>
                <w:color w:val="666666"/>
                <w:sz w:val="20"/>
                <w:szCs w:val="20"/>
                <w:shd w:val="clear" w:color="auto" w:fill="FFFFFF"/>
              </w:rPr>
              <w:t>此除有效提高採購</w:t>
            </w:r>
            <w:r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透明度</w:t>
            </w:r>
            <w:r w:rsidR="00E77260">
              <w:rPr>
                <w:rFonts w:ascii="Trebuchet MS" w:hAnsi="Trebuchet MS"/>
                <w:color w:val="666666"/>
                <w:sz w:val="20"/>
                <w:szCs w:val="20"/>
                <w:shd w:val="clear" w:color="auto" w:fill="FFFFFF"/>
              </w:rPr>
              <w:t>外，並可</w:t>
            </w:r>
            <w:r>
              <w:rPr>
                <w:rFonts w:ascii="Trebuchet MS" w:hAnsi="Trebuchet MS" w:hint="eastAsia"/>
                <w:color w:val="666666"/>
                <w:sz w:val="20"/>
                <w:szCs w:val="20"/>
                <w:shd w:val="clear" w:color="auto" w:fill="FFFFFF"/>
              </w:rPr>
              <w:t>降低採購招、決標階段之爭議。</w:t>
            </w:r>
          </w:p>
        </w:tc>
      </w:tr>
      <w:tr w:rsidR="007D313C" w:rsidRPr="007C5885" w:rsidTr="00D43493">
        <w:trPr>
          <w:cantSplit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興利防弊、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外部監督價值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D313C" w:rsidRPr="007C5885" w:rsidRDefault="00412AF6" w:rsidP="007D313C">
            <w:pPr>
              <w:spacing w:line="440" w:lineRule="exact"/>
              <w:ind w:left="235" w:hangingChars="98" w:hanging="235"/>
              <w:jc w:val="both"/>
              <w:rPr>
                <w:rFonts w:ascii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/>
                <w:color w:val="000000"/>
                <w:kern w:val="0"/>
                <w:szCs w:val="24"/>
              </w:rPr>
              <w:t>.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本措施</w:t>
            </w:r>
            <w:proofErr w:type="gramStart"/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攸</w:t>
            </w:r>
            <w:proofErr w:type="gramEnd"/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關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廠商、</w:t>
            </w:r>
            <w:r w:rsidR="007D313C" w:rsidRPr="007C5885">
              <w:rPr>
                <w:rFonts w:ascii="標楷體" w:hAnsi="標楷體"/>
                <w:color w:val="000000"/>
                <w:kern w:val="0"/>
                <w:szCs w:val="24"/>
              </w:rPr>
              <w:t>民眾權益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，將</w:t>
            </w:r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易引發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廠商</w:t>
            </w:r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抱怨或不便民</w:t>
            </w:r>
            <w:r w:rsidR="007D313C" w:rsidRPr="007C5885">
              <w:rPr>
                <w:rFonts w:ascii="標楷體" w:hAnsi="標楷體"/>
                <w:color w:val="000000"/>
                <w:kern w:val="0"/>
                <w:szCs w:val="24"/>
              </w:rPr>
              <w:t>業務發揮顯著</w:t>
            </w:r>
            <w:proofErr w:type="gramStart"/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之興利</w:t>
            </w:r>
            <w:proofErr w:type="gramEnd"/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防弊價值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7D313C" w:rsidRPr="007C5885" w:rsidRDefault="007D313C" w:rsidP="007D313C">
            <w:pPr>
              <w:spacing w:line="440" w:lineRule="exact"/>
              <w:ind w:left="235" w:hangingChars="98" w:hanging="235"/>
              <w:jc w:val="both"/>
              <w:rPr>
                <w:rFonts w:ascii="標楷體" w:hAnsi="標楷體"/>
                <w:color w:val="000000"/>
              </w:rPr>
            </w:pPr>
            <w:r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2.</w:t>
            </w:r>
            <w:r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透明化程度</w:t>
            </w:r>
            <w:r w:rsidR="00412AF6">
              <w:rPr>
                <w:rFonts w:ascii="標楷體" w:hAnsi="標楷體" w:hint="eastAsia"/>
                <w:color w:val="000000"/>
                <w:kern w:val="0"/>
                <w:szCs w:val="24"/>
              </w:rPr>
              <w:t>確定</w:t>
            </w:r>
            <w:r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達到民眾外部監督之目的</w:t>
            </w:r>
          </w:p>
          <w:p w:rsidR="007D313C" w:rsidRPr="00412AF6" w:rsidRDefault="007D313C" w:rsidP="00412AF6">
            <w:pPr>
              <w:spacing w:line="440" w:lineRule="exact"/>
              <w:ind w:left="221" w:hangingChars="92" w:hanging="221"/>
              <w:jc w:val="both"/>
              <w:rPr>
                <w:rFonts w:ascii="標楷體" w:hAnsi="標楷體"/>
                <w:color w:val="000000"/>
              </w:rPr>
            </w:pPr>
            <w:r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3.</w:t>
            </w:r>
            <w:r w:rsidR="00412AF6">
              <w:rPr>
                <w:rFonts w:ascii="標楷體" w:hAnsi="標楷體" w:hint="eastAsia"/>
                <w:color w:val="000000"/>
                <w:kern w:val="0"/>
                <w:szCs w:val="24"/>
              </w:rPr>
              <w:t>此措施</w:t>
            </w:r>
            <w:r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縮短</w:t>
            </w:r>
            <w:r w:rsidR="00412AF6">
              <w:rPr>
                <w:rFonts w:ascii="標楷體" w:hAnsi="標楷體" w:hint="eastAsia"/>
                <w:color w:val="000000"/>
                <w:kern w:val="0"/>
                <w:szCs w:val="24"/>
              </w:rPr>
              <w:t>採購</w:t>
            </w:r>
            <w:r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案件辦理時間以</w:t>
            </w:r>
            <w:r w:rsidRPr="007C5885">
              <w:rPr>
                <w:rFonts w:ascii="標楷體" w:hAnsi="標楷體"/>
                <w:color w:val="000000"/>
                <w:kern w:val="0"/>
                <w:szCs w:val="24"/>
              </w:rPr>
              <w:t>提升行政效率</w:t>
            </w:r>
          </w:p>
        </w:tc>
      </w:tr>
      <w:tr w:rsidR="007D313C" w:rsidRPr="007C5885" w:rsidTr="00D43493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流程標準化及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公開化程度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D313C" w:rsidRPr="007C5885" w:rsidRDefault="00412AF6" w:rsidP="00412AF6">
            <w:pPr>
              <w:spacing w:line="440" w:lineRule="exact"/>
              <w:ind w:left="250" w:hangingChars="104" w:hanging="250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本所採購依行政院公共工程委員會制定之</w:t>
            </w:r>
            <w:r w:rsidR="007D313C" w:rsidRPr="007C5885">
              <w:rPr>
                <w:rFonts w:ascii="標楷體" w:hAnsi="標楷體"/>
                <w:color w:val="000000"/>
                <w:kern w:val="0"/>
                <w:szCs w:val="24"/>
              </w:rPr>
              <w:t>標準作業流程</w:t>
            </w:r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（</w:t>
            </w:r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SOP</w:t>
            </w:r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），且完整公開</w:t>
            </w: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7D313C" w:rsidRPr="007C5885" w:rsidTr="00D43493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系統（或措施）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便捷性、完整性及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安全性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D313C" w:rsidRPr="007C5885" w:rsidRDefault="00412AF6" w:rsidP="007D313C">
            <w:pPr>
              <w:spacing w:line="440" w:lineRule="exact"/>
              <w:ind w:leftChars="-9" w:left="-22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本案尚非電腦系統。</w:t>
            </w:r>
          </w:p>
        </w:tc>
      </w:tr>
      <w:tr w:rsidR="007D313C" w:rsidRPr="007C5885" w:rsidTr="00D43493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民眾使用情形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D313C" w:rsidRPr="007C5885" w:rsidRDefault="00412AF6" w:rsidP="007D313C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kern w:val="0"/>
                <w:szCs w:val="24"/>
              </w:rPr>
              <w:t>廠商、</w:t>
            </w:r>
            <w:r w:rsidR="007D313C" w:rsidRPr="007C5885">
              <w:rPr>
                <w:rFonts w:ascii="標楷體" w:hAnsi="標楷體" w:hint="eastAsia"/>
                <w:color w:val="000000"/>
                <w:kern w:val="0"/>
                <w:szCs w:val="24"/>
              </w:rPr>
              <w:t>民眾容易取得並能夠解讀所公開之資訊</w:t>
            </w:r>
          </w:p>
        </w:tc>
      </w:tr>
      <w:tr w:rsidR="007D313C" w:rsidRPr="007C5885" w:rsidTr="00D43493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lastRenderedPageBreak/>
              <w:t>創新創意作為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8%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7D313C" w:rsidRPr="007C5885" w:rsidRDefault="007D313C" w:rsidP="00D43493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D313C" w:rsidRPr="007C5885" w:rsidTr="00D43493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相關附件</w:t>
            </w:r>
          </w:p>
        </w:tc>
        <w:tc>
          <w:tcPr>
            <w:tcW w:w="7358" w:type="dxa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（請依序將相關附件按「附件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、附件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2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、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…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」方式標明，並接續於本表之後成一電子檔）</w:t>
            </w:r>
          </w:p>
        </w:tc>
      </w:tr>
      <w:tr w:rsidR="007D313C" w:rsidRPr="007C5885" w:rsidTr="00D43493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聯絡窗口</w:t>
            </w:r>
          </w:p>
        </w:tc>
        <w:tc>
          <w:tcPr>
            <w:tcW w:w="7358" w:type="dxa"/>
          </w:tcPr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姓名：</w:t>
            </w:r>
            <w:r w:rsidR="00E77260">
              <w:rPr>
                <w:rFonts w:ascii="標楷體" w:hAnsi="標楷體" w:hint="eastAsia"/>
                <w:color w:val="000000"/>
                <w:sz w:val="28"/>
                <w:szCs w:val="28"/>
              </w:rPr>
              <w:t>劉泰佑</w:t>
            </w:r>
            <w:r w:rsidR="00E77260" w:rsidRPr="007C5885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電話：</w:t>
            </w:r>
            <w:r w:rsidR="00E77260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="00E77260">
              <w:rPr>
                <w:rFonts w:ascii="標楷體" w:hAnsi="標楷體"/>
                <w:color w:val="000000"/>
                <w:sz w:val="28"/>
                <w:szCs w:val="28"/>
              </w:rPr>
              <w:t>425872106#31</w:t>
            </w:r>
          </w:p>
          <w:p w:rsidR="007D313C" w:rsidRPr="007C5885" w:rsidRDefault="007D313C" w:rsidP="00D43493">
            <w:pPr>
              <w:spacing w:line="440" w:lineRule="exact"/>
              <w:ind w:leftChars="20" w:left="48" w:rightChars="20" w:right="48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e-mail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：</w:t>
            </w:r>
            <w:r w:rsidR="00E77260">
              <w:rPr>
                <w:rFonts w:ascii="Arial" w:hAnsi="Arial" w:cs="Arial"/>
                <w:color w:val="343434"/>
                <w:sz w:val="18"/>
                <w:szCs w:val="18"/>
              </w:rPr>
              <w:t>lautaiyu@taichung.gov.tw</w:t>
            </w:r>
          </w:p>
        </w:tc>
      </w:tr>
    </w:tbl>
    <w:p w:rsidR="007D313C" w:rsidRPr="007C5885" w:rsidRDefault="007D313C" w:rsidP="007D313C">
      <w:pPr>
        <w:widowControl/>
        <w:numPr>
          <w:ilvl w:val="0"/>
          <w:numId w:val="1"/>
        </w:numPr>
        <w:spacing w:beforeLines="50" w:before="180" w:line="440" w:lineRule="exact"/>
        <w:ind w:left="284" w:rightChars="-289" w:right="-694" w:hanging="28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 w:hint="eastAsia"/>
          <w:b/>
          <w:color w:val="000000"/>
          <w:sz w:val="26"/>
          <w:szCs w:val="26"/>
        </w:rPr>
        <w:t>請參考「附錄、評審標準」具體敘明：興利行政、外部監控、防弊性、資訊公開、透明化程度等評核要項。</w:t>
      </w:r>
    </w:p>
    <w:p w:rsidR="007D313C" w:rsidRPr="007C5885" w:rsidRDefault="007D313C" w:rsidP="007D313C">
      <w:pPr>
        <w:widowControl/>
        <w:numPr>
          <w:ilvl w:val="0"/>
          <w:numId w:val="1"/>
        </w:numPr>
        <w:spacing w:beforeLines="50" w:before="180" w:line="440" w:lineRule="exact"/>
        <w:ind w:rightChars="-289" w:right="-69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 w:hint="eastAsia"/>
          <w:b/>
          <w:color w:val="000000"/>
          <w:sz w:val="26"/>
          <w:szCs w:val="26"/>
        </w:rPr>
        <w:t>主要辦理人員及協助辦理人員請填寫姓名及負責之工作。</w:t>
      </w:r>
    </w:p>
    <w:p w:rsidR="007D313C" w:rsidRPr="007C5885" w:rsidRDefault="007D313C" w:rsidP="007D313C">
      <w:pPr>
        <w:widowControl/>
        <w:numPr>
          <w:ilvl w:val="0"/>
          <w:numId w:val="1"/>
        </w:numPr>
        <w:spacing w:line="440" w:lineRule="exact"/>
        <w:ind w:left="523" w:rightChars="-289" w:right="-694" w:hangingChars="201" w:hanging="523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格式限制：</w:t>
      </w:r>
    </w:p>
    <w:p w:rsidR="007D313C" w:rsidRPr="007C5885" w:rsidRDefault="007D313C" w:rsidP="007D313C">
      <w:pPr>
        <w:spacing w:line="440" w:lineRule="exact"/>
        <w:ind w:rightChars="-289" w:right="-69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一、透明化措施參獎申請表：</w:t>
      </w:r>
    </w:p>
    <w:p w:rsidR="007D313C" w:rsidRPr="007C5885" w:rsidRDefault="007D313C" w:rsidP="007D313C">
      <w:pPr>
        <w:spacing w:line="440" w:lineRule="exact"/>
        <w:ind w:rightChars="-289" w:right="-69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</w:t>
      </w:r>
      <w:r w:rsidRPr="007C5885">
        <w:rPr>
          <w:rFonts w:ascii="標楷體" w:hAnsi="標楷體"/>
          <w:b/>
          <w:color w:val="000000"/>
          <w:sz w:val="26"/>
          <w:szCs w:val="26"/>
        </w:rPr>
        <w:t>1</w:t>
      </w:r>
      <w:r w:rsidRPr="007C5885">
        <w:rPr>
          <w:rFonts w:ascii="標楷體" w:hAnsi="標楷體"/>
          <w:b/>
          <w:color w:val="000000"/>
          <w:sz w:val="26"/>
          <w:szCs w:val="26"/>
        </w:rPr>
        <w:t>）內文格式：標楷體字型，字體大小為</w:t>
      </w:r>
      <w:r w:rsidRPr="007C5885">
        <w:rPr>
          <w:rFonts w:ascii="標楷體" w:hAnsi="標楷體"/>
          <w:b/>
          <w:color w:val="000000"/>
          <w:sz w:val="26"/>
          <w:szCs w:val="26"/>
        </w:rPr>
        <w:t>14</w:t>
      </w:r>
      <w:r w:rsidRPr="007C5885">
        <w:rPr>
          <w:rFonts w:ascii="標楷體" w:hAnsi="標楷體"/>
          <w:b/>
          <w:color w:val="000000"/>
          <w:sz w:val="26"/>
          <w:szCs w:val="26"/>
        </w:rPr>
        <w:t>點，行距為固定行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高</w:t>
      </w:r>
      <w:r w:rsidRPr="007C5885">
        <w:rPr>
          <w:rFonts w:ascii="標楷體" w:hAnsi="標楷體"/>
          <w:b/>
          <w:color w:val="000000"/>
          <w:sz w:val="26"/>
          <w:szCs w:val="26"/>
        </w:rPr>
        <w:t>18pt</w:t>
      </w:r>
      <w:r w:rsidRPr="007C5885">
        <w:rPr>
          <w:rFonts w:ascii="標楷體" w:hAnsi="標楷體"/>
          <w:b/>
          <w:color w:val="000000"/>
          <w:sz w:val="26"/>
          <w:szCs w:val="26"/>
        </w:rPr>
        <w:t>。</w:t>
      </w:r>
    </w:p>
    <w:p w:rsidR="007D313C" w:rsidRPr="007C5885" w:rsidRDefault="007D313C" w:rsidP="007D313C">
      <w:pPr>
        <w:spacing w:line="440" w:lineRule="exact"/>
        <w:ind w:rightChars="-289" w:right="-69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</w:t>
      </w:r>
      <w:r w:rsidRPr="007C5885">
        <w:rPr>
          <w:rFonts w:ascii="標楷體" w:hAnsi="標楷體"/>
          <w:b/>
          <w:color w:val="000000"/>
          <w:sz w:val="26"/>
          <w:szCs w:val="26"/>
        </w:rPr>
        <w:t>2</w:t>
      </w:r>
      <w:r w:rsidRPr="007C5885">
        <w:rPr>
          <w:rFonts w:ascii="標楷體" w:hAnsi="標楷體"/>
          <w:b/>
          <w:color w:val="000000"/>
          <w:sz w:val="26"/>
          <w:szCs w:val="26"/>
        </w:rPr>
        <w:t>）頁數：</w:t>
      </w:r>
      <w:r w:rsidRPr="007C5885">
        <w:rPr>
          <w:rFonts w:ascii="標楷體" w:hAnsi="標楷體"/>
          <w:b/>
          <w:color w:val="000000"/>
          <w:sz w:val="26"/>
          <w:szCs w:val="26"/>
        </w:rPr>
        <w:t>A4</w:t>
      </w:r>
      <w:r w:rsidRPr="007C5885">
        <w:rPr>
          <w:rFonts w:ascii="標楷體" w:hAnsi="標楷體"/>
          <w:b/>
          <w:color w:val="000000"/>
          <w:sz w:val="26"/>
          <w:szCs w:val="26"/>
        </w:rPr>
        <w:t>紙不超過</w:t>
      </w:r>
      <w:r w:rsidRPr="007C5885">
        <w:rPr>
          <w:rFonts w:ascii="標楷體" w:hAnsi="標楷體" w:hint="eastAsia"/>
          <w:b/>
          <w:color w:val="000000"/>
          <w:sz w:val="26"/>
          <w:szCs w:val="26"/>
        </w:rPr>
        <w:t>3</w:t>
      </w:r>
      <w:r w:rsidRPr="007C5885">
        <w:rPr>
          <w:rFonts w:ascii="標楷體" w:hAnsi="標楷體"/>
          <w:b/>
          <w:color w:val="000000"/>
          <w:sz w:val="26"/>
          <w:szCs w:val="26"/>
        </w:rPr>
        <w:t>頁。</w:t>
      </w:r>
    </w:p>
    <w:p w:rsidR="007D313C" w:rsidRPr="007C5885" w:rsidRDefault="007D313C" w:rsidP="007D313C">
      <w:pPr>
        <w:spacing w:line="440" w:lineRule="exact"/>
        <w:ind w:rightChars="-289" w:right="-69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二、相關附件：</w:t>
      </w:r>
    </w:p>
    <w:p w:rsidR="007D313C" w:rsidRPr="007C5885" w:rsidRDefault="007D313C" w:rsidP="007D313C">
      <w:pPr>
        <w:spacing w:line="440" w:lineRule="exact"/>
        <w:ind w:rightChars="-289" w:right="-69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</w:t>
      </w:r>
      <w:r w:rsidRPr="007C5885">
        <w:rPr>
          <w:rFonts w:ascii="標楷體" w:hAnsi="標楷體"/>
          <w:b/>
          <w:color w:val="000000"/>
          <w:sz w:val="26"/>
          <w:szCs w:val="26"/>
        </w:rPr>
        <w:t>1</w:t>
      </w:r>
      <w:r w:rsidRPr="007C5885">
        <w:rPr>
          <w:rFonts w:ascii="標楷體" w:hAnsi="標楷體"/>
          <w:b/>
          <w:color w:val="000000"/>
          <w:sz w:val="26"/>
          <w:szCs w:val="26"/>
        </w:rPr>
        <w:t>）內文格式：不限。</w:t>
      </w:r>
    </w:p>
    <w:p w:rsidR="007D313C" w:rsidRPr="007C5885" w:rsidRDefault="007D313C" w:rsidP="007D313C">
      <w:pPr>
        <w:spacing w:line="440" w:lineRule="exact"/>
        <w:ind w:rightChars="-289" w:right="-694"/>
        <w:rPr>
          <w:rFonts w:ascii="標楷體" w:hAnsi="標楷體"/>
          <w:b/>
          <w:color w:val="000000"/>
          <w:sz w:val="26"/>
          <w:szCs w:val="26"/>
        </w:rPr>
      </w:pPr>
      <w:r w:rsidRPr="007C5885">
        <w:rPr>
          <w:rFonts w:ascii="標楷體" w:hAnsi="標楷體"/>
          <w:b/>
          <w:color w:val="000000"/>
          <w:sz w:val="26"/>
          <w:szCs w:val="26"/>
        </w:rPr>
        <w:t>（</w:t>
      </w:r>
      <w:r w:rsidRPr="007C5885">
        <w:rPr>
          <w:rFonts w:ascii="標楷體" w:hAnsi="標楷體"/>
          <w:b/>
          <w:color w:val="000000"/>
          <w:sz w:val="26"/>
          <w:szCs w:val="26"/>
        </w:rPr>
        <w:t>2</w:t>
      </w:r>
      <w:r w:rsidRPr="007C5885">
        <w:rPr>
          <w:rFonts w:ascii="標楷體" w:hAnsi="標楷體"/>
          <w:b/>
          <w:color w:val="000000"/>
          <w:sz w:val="26"/>
          <w:szCs w:val="26"/>
        </w:rPr>
        <w:t>）頁數：</w:t>
      </w:r>
      <w:r w:rsidRPr="007C5885">
        <w:rPr>
          <w:rFonts w:ascii="標楷體" w:hAnsi="標楷體"/>
          <w:b/>
          <w:color w:val="000000"/>
          <w:sz w:val="26"/>
          <w:szCs w:val="26"/>
        </w:rPr>
        <w:t>A4</w:t>
      </w:r>
      <w:r w:rsidRPr="007C5885">
        <w:rPr>
          <w:rFonts w:ascii="標楷體" w:hAnsi="標楷體"/>
          <w:b/>
          <w:color w:val="000000"/>
          <w:sz w:val="26"/>
          <w:szCs w:val="26"/>
        </w:rPr>
        <w:t>紙不超過</w:t>
      </w:r>
      <w:r w:rsidRPr="007C5885">
        <w:rPr>
          <w:rFonts w:ascii="標楷體" w:hAnsi="標楷體"/>
          <w:b/>
          <w:color w:val="000000"/>
          <w:sz w:val="26"/>
          <w:szCs w:val="26"/>
        </w:rPr>
        <w:t>20</w:t>
      </w:r>
      <w:r w:rsidRPr="007C5885">
        <w:rPr>
          <w:rFonts w:ascii="標楷體" w:hAnsi="標楷體"/>
          <w:b/>
          <w:color w:val="000000"/>
          <w:sz w:val="26"/>
          <w:szCs w:val="26"/>
        </w:rPr>
        <w:t>頁。</w:t>
      </w:r>
    </w:p>
    <w:p w:rsidR="007D313C" w:rsidRPr="007C5885" w:rsidRDefault="007D313C" w:rsidP="007D313C">
      <w:pPr>
        <w:spacing w:line="440" w:lineRule="exact"/>
        <w:ind w:rightChars="-289" w:right="-694"/>
        <w:rPr>
          <w:rFonts w:ascii="標楷體" w:hAnsi="標楷體"/>
          <w:b/>
          <w:color w:val="000000"/>
          <w:sz w:val="26"/>
          <w:szCs w:val="26"/>
        </w:rPr>
      </w:pPr>
    </w:p>
    <w:p w:rsidR="007D313C" w:rsidRDefault="007D313C" w:rsidP="007D313C">
      <w:r w:rsidRPr="007C5885">
        <w:rPr>
          <w:rFonts w:ascii="標楷體" w:hAnsi="標楷體"/>
          <w:b/>
          <w:color w:val="000000"/>
          <w:sz w:val="26"/>
          <w:szCs w:val="26"/>
        </w:rPr>
        <w:br w:type="page"/>
      </w:r>
    </w:p>
    <w:sectPr w:rsidR="007D31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1FC" w:rsidRDefault="000311FC" w:rsidP="00E77260">
      <w:r>
        <w:separator/>
      </w:r>
    </w:p>
  </w:endnote>
  <w:endnote w:type="continuationSeparator" w:id="0">
    <w:p w:rsidR="000311FC" w:rsidRDefault="000311FC" w:rsidP="00E7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1FC" w:rsidRDefault="000311FC" w:rsidP="00E77260">
      <w:r>
        <w:separator/>
      </w:r>
    </w:p>
  </w:footnote>
  <w:footnote w:type="continuationSeparator" w:id="0">
    <w:p w:rsidR="000311FC" w:rsidRDefault="000311FC" w:rsidP="00E7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227F"/>
    <w:multiLevelType w:val="hybridMultilevel"/>
    <w:tmpl w:val="7146F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0311FC"/>
    <w:rsid w:val="002E79EE"/>
    <w:rsid w:val="00401546"/>
    <w:rsid w:val="00412AF6"/>
    <w:rsid w:val="005506C9"/>
    <w:rsid w:val="007D313C"/>
    <w:rsid w:val="0087052E"/>
    <w:rsid w:val="008F1D1C"/>
    <w:rsid w:val="00C22E93"/>
    <w:rsid w:val="00E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74819F-8BF7-4C5F-9AD0-CE354A24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72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7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72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王筱妮</dc:creator>
  <cp:keywords/>
  <dc:description/>
  <cp:lastModifiedBy>林孟慧</cp:lastModifiedBy>
  <cp:revision>2</cp:revision>
  <dcterms:created xsi:type="dcterms:W3CDTF">2019-02-22T03:42:00Z</dcterms:created>
  <dcterms:modified xsi:type="dcterms:W3CDTF">2019-02-22T03:42:00Z</dcterms:modified>
</cp:coreProperties>
</file>