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AF" w:rsidRPr="007C5885" w:rsidRDefault="00913FAF" w:rsidP="00913FAF">
      <w:pPr>
        <w:spacing w:line="440" w:lineRule="exact"/>
        <w:jc w:val="center"/>
        <w:rPr>
          <w:rFonts w:ascii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hAnsi="標楷體" w:hint="eastAsia"/>
          <w:b/>
          <w:color w:val="000000"/>
          <w:sz w:val="40"/>
          <w:szCs w:val="40"/>
        </w:rPr>
        <w:t>附件</w:t>
      </w:r>
      <w:proofErr w:type="gramStart"/>
      <w:r>
        <w:rPr>
          <w:rFonts w:ascii="標楷體" w:hAnsi="標楷體" w:hint="eastAsia"/>
          <w:b/>
          <w:color w:val="000000"/>
          <w:sz w:val="40"/>
          <w:szCs w:val="40"/>
        </w:rPr>
        <w:t>─</w:t>
      </w:r>
      <w:r w:rsidRPr="007C5885">
        <w:rPr>
          <w:rFonts w:ascii="標楷體" w:hAnsi="標楷體"/>
          <w:b/>
          <w:color w:val="000000"/>
          <w:sz w:val="40"/>
          <w:szCs w:val="40"/>
        </w:rPr>
        <w:t>臺</w:t>
      </w:r>
      <w:proofErr w:type="gramEnd"/>
      <w:r w:rsidRPr="007C5885">
        <w:rPr>
          <w:rFonts w:ascii="標楷體" w:hAnsi="標楷體" w:hint="eastAsia"/>
          <w:b/>
          <w:color w:val="000000"/>
          <w:sz w:val="40"/>
          <w:szCs w:val="40"/>
        </w:rPr>
        <w:t>中</w:t>
      </w:r>
      <w:r w:rsidRPr="007C5885">
        <w:rPr>
          <w:rFonts w:ascii="標楷體" w:hAnsi="標楷體"/>
          <w:b/>
          <w:color w:val="000000"/>
          <w:sz w:val="40"/>
          <w:szCs w:val="40"/>
        </w:rPr>
        <w:t>市政府</w:t>
      </w:r>
      <w:r w:rsidRPr="007C5885">
        <w:rPr>
          <w:rFonts w:ascii="標楷體" w:hAnsi="標楷體" w:hint="eastAsia"/>
          <w:b/>
          <w:color w:val="000000"/>
          <w:sz w:val="40"/>
          <w:szCs w:val="40"/>
        </w:rPr>
        <w:t>「廉能</w:t>
      </w:r>
      <w:r w:rsidRPr="007C5885">
        <w:rPr>
          <w:rFonts w:ascii="標楷體" w:hAnsi="標楷體"/>
          <w:b/>
          <w:color w:val="000000"/>
          <w:sz w:val="40"/>
          <w:szCs w:val="40"/>
        </w:rPr>
        <w:t>透明獎</w:t>
      </w:r>
      <w:r w:rsidRPr="007C5885">
        <w:rPr>
          <w:rFonts w:ascii="標楷體" w:hAnsi="標楷體" w:hint="eastAsia"/>
          <w:b/>
          <w:color w:val="000000"/>
          <w:sz w:val="40"/>
          <w:szCs w:val="40"/>
        </w:rPr>
        <w:t>」</w:t>
      </w:r>
      <w:r w:rsidRPr="007C5885">
        <w:rPr>
          <w:rFonts w:ascii="標楷體" w:hAnsi="標楷體"/>
          <w:b/>
          <w:color w:val="000000"/>
          <w:sz w:val="40"/>
          <w:szCs w:val="40"/>
        </w:rPr>
        <w:t>申請表</w:t>
      </w:r>
    </w:p>
    <w:tbl>
      <w:tblPr>
        <w:tblW w:w="95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6"/>
        <w:gridCol w:w="7358"/>
      </w:tblGrid>
      <w:tr w:rsidR="00913FAF" w:rsidRPr="007C5885" w:rsidTr="006B7791">
        <w:trPr>
          <w:cantSplit/>
          <w:trHeight w:val="655"/>
          <w:jc w:val="center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913FAF" w:rsidRPr="007C5885" w:rsidRDefault="00913FAF" w:rsidP="006B7791">
            <w:pPr>
              <w:spacing w:line="44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 w:rsidRPr="007C5885">
              <w:rPr>
                <w:rFonts w:ascii="標楷體" w:hAnsi="標楷體"/>
                <w:b/>
                <w:color w:val="000000"/>
                <w:szCs w:val="32"/>
              </w:rPr>
              <w:t>臺</w:t>
            </w:r>
            <w:proofErr w:type="gramEnd"/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中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市政府</w:t>
            </w:r>
            <w:r>
              <w:rPr>
                <w:rFonts w:ascii="標楷體" w:hAnsi="標楷體" w:hint="eastAsia"/>
                <w:b/>
                <w:color w:val="000000"/>
                <w:szCs w:val="32"/>
              </w:rPr>
              <w:t>「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廉能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透明獎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」一般參賽類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申請表</w:t>
            </w:r>
          </w:p>
        </w:tc>
      </w:tr>
      <w:tr w:rsidR="00913FAF" w:rsidRPr="007C5885" w:rsidTr="006B7791">
        <w:trPr>
          <w:cantSplit/>
          <w:trHeight w:val="65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提案機關</w:t>
            </w:r>
          </w:p>
        </w:tc>
        <w:tc>
          <w:tcPr>
            <w:tcW w:w="7358" w:type="dxa"/>
            <w:vAlign w:val="center"/>
          </w:tcPr>
          <w:p w:rsidR="00913FAF" w:rsidRPr="007C5885" w:rsidRDefault="00913FAF" w:rsidP="006B7791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中市豐原地政事務所</w:t>
            </w:r>
          </w:p>
        </w:tc>
      </w:tr>
      <w:tr w:rsidR="00913FAF" w:rsidRPr="007C5885" w:rsidTr="006B7791">
        <w:trPr>
          <w:cantSplit/>
          <w:trHeight w:val="65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單位主管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職稱及姓名</w:t>
            </w:r>
          </w:p>
        </w:tc>
        <w:tc>
          <w:tcPr>
            <w:tcW w:w="7358" w:type="dxa"/>
            <w:vAlign w:val="center"/>
          </w:tcPr>
          <w:p w:rsidR="00913FAF" w:rsidRPr="007C5885" w:rsidRDefault="00913FAF" w:rsidP="006B7791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課長 林權益</w:t>
            </w:r>
          </w:p>
        </w:tc>
      </w:tr>
      <w:tr w:rsidR="00913FAF" w:rsidRPr="007C5885" w:rsidTr="006B7791">
        <w:trPr>
          <w:cantSplit/>
          <w:trHeight w:val="892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主要辦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理</w:t>
            </w: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人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員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913FAF" w:rsidRPr="007C5885" w:rsidRDefault="00913FAF" w:rsidP="006B7791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李青芸(提案內容)</w:t>
            </w:r>
          </w:p>
        </w:tc>
      </w:tr>
      <w:tr w:rsidR="00913FAF" w:rsidRPr="007C5885" w:rsidTr="006B7791">
        <w:trPr>
          <w:cantSplit/>
          <w:trHeight w:val="820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協助辦理人員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913FAF" w:rsidRDefault="00913FAF" w:rsidP="006B7791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趙朋沅(發起計畫)</w:t>
            </w:r>
          </w:p>
          <w:p w:rsidR="0024681D" w:rsidRDefault="0024681D" w:rsidP="006B7791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許雅婷(推動計畫)</w:t>
            </w:r>
          </w:p>
          <w:p w:rsidR="00913FAF" w:rsidRDefault="00913FAF" w:rsidP="006B7791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林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書涵</w:t>
            </w:r>
            <w:proofErr w:type="gramEnd"/>
            <w:r>
              <w:rPr>
                <w:rFonts w:ascii="標楷體" w:hAnsi="標楷體" w:hint="eastAsia"/>
                <w:color w:val="000000"/>
              </w:rPr>
              <w:t>(</w:t>
            </w:r>
            <w:r w:rsidR="0024681D">
              <w:rPr>
                <w:rFonts w:ascii="標楷體" w:hAnsi="標楷體" w:hint="eastAsia"/>
                <w:color w:val="000000"/>
              </w:rPr>
              <w:t>推動計畫</w:t>
            </w:r>
            <w:r>
              <w:rPr>
                <w:rFonts w:ascii="標楷體" w:hAnsi="標楷體" w:hint="eastAsia"/>
                <w:color w:val="000000"/>
              </w:rPr>
              <w:t>)</w:t>
            </w:r>
          </w:p>
          <w:p w:rsidR="00913FAF" w:rsidRPr="007C5885" w:rsidRDefault="00913FAF" w:rsidP="006B7791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謝沅澍</w:t>
            </w:r>
            <w:r w:rsidR="0024681D">
              <w:rPr>
                <w:rFonts w:ascii="標楷體" w:hAnsi="標楷體" w:hint="eastAsia"/>
                <w:color w:val="000000"/>
              </w:rPr>
              <w:t>(推動計畫)</w:t>
            </w:r>
          </w:p>
        </w:tc>
      </w:tr>
      <w:tr w:rsidR="00913FAF" w:rsidRPr="007C5885" w:rsidTr="006B7791">
        <w:trPr>
          <w:cantSplit/>
          <w:trHeight w:val="77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透明化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措施名稱</w:t>
            </w:r>
          </w:p>
        </w:tc>
        <w:tc>
          <w:tcPr>
            <w:tcW w:w="7358" w:type="dxa"/>
          </w:tcPr>
          <w:p w:rsidR="00913FAF" w:rsidRPr="007C5885" w:rsidRDefault="00913FAF" w:rsidP="006B7791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13FAF">
              <w:rPr>
                <w:rFonts w:ascii="標楷體" w:hAnsi="標楷體" w:hint="eastAsia"/>
                <w:color w:val="000000"/>
                <w:sz w:val="28"/>
                <w:szCs w:val="28"/>
              </w:rPr>
              <w:t>照得清</w:t>
            </w:r>
            <w:proofErr w:type="gramStart"/>
            <w:r w:rsidRPr="00913FAF">
              <w:rPr>
                <w:rFonts w:ascii="標楷體" w:hAnsi="標楷體" w:hint="eastAsia"/>
                <w:color w:val="000000"/>
                <w:sz w:val="28"/>
                <w:szCs w:val="28"/>
              </w:rPr>
              <w:t>複</w:t>
            </w:r>
            <w:proofErr w:type="gramEnd"/>
            <w:r w:rsidRPr="00913FAF">
              <w:rPr>
                <w:rFonts w:ascii="標楷體" w:hAnsi="標楷體" w:hint="eastAsia"/>
                <w:color w:val="000000"/>
                <w:sz w:val="28"/>
                <w:szCs w:val="28"/>
              </w:rPr>
              <w:t>丈成果計畫</w:t>
            </w:r>
          </w:p>
        </w:tc>
      </w:tr>
      <w:tr w:rsidR="00913FAF" w:rsidRPr="007C5885" w:rsidTr="006B7791">
        <w:trPr>
          <w:cantSplit/>
          <w:trHeight w:val="970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措施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7358" w:type="dxa"/>
          </w:tcPr>
          <w:p w:rsidR="00913FAF" w:rsidRPr="007C5885" w:rsidRDefault="00913FAF" w:rsidP="006B7791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13FAF">
              <w:rPr>
                <w:rFonts w:ascii="標楷體" w:hAnsi="標楷體" w:hint="eastAsia"/>
                <w:color w:val="000000"/>
                <w:sz w:val="28"/>
                <w:szCs w:val="28"/>
              </w:rPr>
              <w:t>地政事務所</w:t>
            </w:r>
            <w:proofErr w:type="gramStart"/>
            <w:r w:rsidRPr="00913FAF">
              <w:rPr>
                <w:rFonts w:ascii="標楷體" w:hAnsi="標楷體" w:hint="eastAsia"/>
                <w:color w:val="000000"/>
                <w:sz w:val="28"/>
                <w:szCs w:val="28"/>
              </w:rPr>
              <w:t>鑑</w:t>
            </w:r>
            <w:proofErr w:type="gramEnd"/>
            <w:r w:rsidRPr="00913FAF">
              <w:rPr>
                <w:rFonts w:ascii="標楷體" w:hAnsi="標楷體" w:hint="eastAsia"/>
                <w:color w:val="000000"/>
                <w:sz w:val="28"/>
                <w:szCs w:val="28"/>
              </w:rPr>
              <w:t>界時現場核發民眾土地複丈成果圖，惟土地複丈成果圖上僅標示制式界標款式及</w:t>
            </w:r>
            <w:proofErr w:type="gramStart"/>
            <w:r w:rsidR="00C66983">
              <w:rPr>
                <w:rFonts w:ascii="標楷體" w:hAnsi="標楷體" w:hint="eastAsia"/>
                <w:color w:val="000000"/>
                <w:sz w:val="28"/>
                <w:szCs w:val="28"/>
              </w:rPr>
              <w:t>界址點</w:t>
            </w:r>
            <w:r w:rsidRPr="00913FAF">
              <w:rPr>
                <w:rFonts w:ascii="標楷體" w:hAnsi="標楷體" w:hint="eastAsia"/>
                <w:color w:val="000000"/>
                <w:sz w:val="28"/>
                <w:szCs w:val="28"/>
              </w:rPr>
              <w:t>編</w:t>
            </w:r>
            <w:proofErr w:type="gramEnd"/>
            <w:r w:rsidRPr="00913FAF">
              <w:rPr>
                <w:rFonts w:ascii="標楷體" w:hAnsi="標楷體" w:hint="eastAsia"/>
                <w:color w:val="000000"/>
                <w:sz w:val="28"/>
                <w:szCs w:val="28"/>
              </w:rPr>
              <w:t>碼，可能會導致</w:t>
            </w:r>
            <w:proofErr w:type="gramStart"/>
            <w:r w:rsidRPr="00913FAF">
              <w:rPr>
                <w:rFonts w:ascii="標楷體" w:hAnsi="標楷體" w:hint="eastAsia"/>
                <w:color w:val="000000"/>
                <w:sz w:val="28"/>
                <w:szCs w:val="28"/>
              </w:rPr>
              <w:t>民眾對界</w:t>
            </w:r>
            <w:proofErr w:type="gramEnd"/>
            <w:r w:rsidRPr="00913FAF">
              <w:rPr>
                <w:rFonts w:ascii="標楷體" w:hAnsi="標楷體" w:hint="eastAsia"/>
                <w:color w:val="000000"/>
                <w:sz w:val="28"/>
                <w:szCs w:val="28"/>
              </w:rPr>
              <w:t>址所在位置印象模糊，本所遂於土地複丈成果圖後列印航照圖及地籍</w:t>
            </w:r>
            <w:proofErr w:type="gramStart"/>
            <w:r w:rsidRPr="00913FAF">
              <w:rPr>
                <w:rFonts w:ascii="標楷體" w:hAnsi="標楷體" w:hint="eastAsia"/>
                <w:color w:val="000000"/>
                <w:sz w:val="28"/>
                <w:szCs w:val="28"/>
              </w:rPr>
              <w:t>圖套</w:t>
            </w:r>
            <w:proofErr w:type="gramEnd"/>
            <w:r w:rsidRPr="00913FAF">
              <w:rPr>
                <w:rFonts w:ascii="標楷體" w:hAnsi="標楷體" w:hint="eastAsia"/>
                <w:color w:val="000000"/>
                <w:sz w:val="28"/>
                <w:szCs w:val="28"/>
              </w:rPr>
              <w:t>繪成果，供民眾對現況作參考了解，避免重複申請鑑界，浪費金錢及行政資源。</w:t>
            </w:r>
          </w:p>
        </w:tc>
      </w:tr>
      <w:tr w:rsidR="00913FAF" w:rsidRPr="007C5885" w:rsidTr="006B7791">
        <w:trPr>
          <w:cantSplit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proofErr w:type="gramStart"/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lastRenderedPageBreak/>
              <w:t>興利防弊</w:t>
            </w:r>
            <w:proofErr w:type="gramEnd"/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、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外部監督價值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（28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24681D" w:rsidRDefault="002224A0" w:rsidP="002468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Lines="50" w:before="180" w:line="560" w:lineRule="exact"/>
              <w:ind w:leftChars="2" w:left="600" w:rightChars="132" w:right="422" w:hangingChars="212" w:hanging="594"/>
              <w:textAlignment w:val="bottom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一、</w:t>
            </w:r>
            <w:r w:rsidR="0024681D">
              <w:rPr>
                <w:rFonts w:ascii="標楷體" w:hAnsi="標楷體" w:hint="eastAsia"/>
                <w:sz w:val="28"/>
              </w:rPr>
              <w:t>加強政府資訊公開-</w:t>
            </w:r>
          </w:p>
          <w:p w:rsidR="002224A0" w:rsidRDefault="0024681D" w:rsidP="002C1EE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line="560" w:lineRule="exact"/>
              <w:ind w:leftChars="36" w:left="541" w:rightChars="132" w:right="422" w:hangingChars="152" w:hanging="426"/>
              <w:textAlignment w:val="bottom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 xml:space="preserve">   </w:t>
            </w:r>
            <w:proofErr w:type="gramStart"/>
            <w:r w:rsidR="00732AAB">
              <w:rPr>
                <w:rFonts w:ascii="標楷體" w:hAnsi="標楷體" w:hint="eastAsia"/>
                <w:sz w:val="28"/>
              </w:rPr>
              <w:t>鑑</w:t>
            </w:r>
            <w:proofErr w:type="gramEnd"/>
            <w:r w:rsidR="00732AAB">
              <w:rPr>
                <w:rFonts w:ascii="標楷體" w:hAnsi="標楷體" w:hint="eastAsia"/>
                <w:sz w:val="28"/>
              </w:rPr>
              <w:t>界時由測量人員協助民眾於現場設立界標，並領取土地複丈成果圖，惟土地複丈成果圖上僅有地籍圖及制式</w:t>
            </w:r>
            <w:proofErr w:type="gramStart"/>
            <w:r w:rsidR="00732AAB">
              <w:rPr>
                <w:rFonts w:ascii="標楷體" w:hAnsi="標楷體" w:hint="eastAsia"/>
                <w:sz w:val="28"/>
              </w:rPr>
              <w:t>界標樁</w:t>
            </w:r>
            <w:proofErr w:type="gramEnd"/>
            <w:r w:rsidR="00732AAB">
              <w:rPr>
                <w:rFonts w:ascii="標楷體" w:hAnsi="標楷體" w:hint="eastAsia"/>
                <w:sz w:val="28"/>
              </w:rPr>
              <w:t>位號碼，</w:t>
            </w:r>
            <w:r w:rsidR="002C1EE5">
              <w:rPr>
                <w:rFonts w:ascii="標楷體" w:hAnsi="標楷體" w:hint="eastAsia"/>
                <w:sz w:val="28"/>
              </w:rPr>
              <w:t>民眾對現場地</w:t>
            </w:r>
            <w:proofErr w:type="gramStart"/>
            <w:r w:rsidR="002C1EE5">
              <w:rPr>
                <w:rFonts w:ascii="標楷體" w:hAnsi="標楷體" w:hint="eastAsia"/>
                <w:sz w:val="28"/>
              </w:rPr>
              <w:t>物及樁</w:t>
            </w:r>
            <w:proofErr w:type="gramEnd"/>
            <w:r w:rsidR="002C1EE5">
              <w:rPr>
                <w:rFonts w:ascii="標楷體" w:hAnsi="標楷體" w:hint="eastAsia"/>
                <w:sz w:val="28"/>
              </w:rPr>
              <w:t>位位置之空間感可能仍有疑慮，於土地複丈成果圖後方印製地籍圖及航</w:t>
            </w:r>
            <w:proofErr w:type="gramStart"/>
            <w:r w:rsidR="002C1EE5">
              <w:rPr>
                <w:rFonts w:ascii="標楷體" w:hAnsi="標楷體" w:hint="eastAsia"/>
                <w:sz w:val="28"/>
              </w:rPr>
              <w:t>照圖套繪</w:t>
            </w:r>
            <w:proofErr w:type="gramEnd"/>
            <w:r w:rsidR="002C1EE5">
              <w:rPr>
                <w:rFonts w:ascii="標楷體" w:hAnsi="標楷體" w:hint="eastAsia"/>
                <w:sz w:val="28"/>
              </w:rPr>
              <w:t>圖，可以加強民眾對申請土地</w:t>
            </w:r>
            <w:r w:rsidR="00C66983">
              <w:rPr>
                <w:rFonts w:ascii="標楷體" w:hAnsi="標楷體" w:hint="eastAsia"/>
                <w:sz w:val="28"/>
              </w:rPr>
              <w:t>界址</w:t>
            </w:r>
            <w:r w:rsidR="002C1EE5">
              <w:rPr>
                <w:rFonts w:ascii="標楷體" w:hAnsi="標楷體" w:hint="eastAsia"/>
                <w:sz w:val="28"/>
              </w:rPr>
              <w:t>位置與鄰近建物等地物關係位置之了解，正確認知土地位置，可以提升民眾對地政機關辦理鑑界之信任感。</w:t>
            </w:r>
          </w:p>
          <w:p w:rsidR="0024681D" w:rsidRDefault="0024681D" w:rsidP="002468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Lines="50" w:before="180" w:line="560" w:lineRule="exact"/>
              <w:ind w:leftChars="2" w:left="600" w:rightChars="132" w:right="422" w:hangingChars="212" w:hanging="594"/>
              <w:textAlignment w:val="bottom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二、保障人民財產權</w:t>
            </w:r>
            <w:r w:rsidR="00784AFC">
              <w:rPr>
                <w:rFonts w:ascii="標楷體" w:hAnsi="標楷體" w:hint="eastAsia"/>
                <w:sz w:val="28"/>
              </w:rPr>
              <w:t>-</w:t>
            </w:r>
          </w:p>
          <w:p w:rsidR="002224A0" w:rsidRPr="002C1EE5" w:rsidRDefault="0024681D" w:rsidP="002C1EE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line="560" w:lineRule="exact"/>
              <w:ind w:leftChars="2" w:left="600" w:rightChars="132" w:right="422" w:hangingChars="212" w:hanging="594"/>
              <w:textAlignment w:val="bottom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 xml:space="preserve">    </w:t>
            </w:r>
            <w:proofErr w:type="gramStart"/>
            <w:r w:rsidR="002C1EE5">
              <w:rPr>
                <w:rFonts w:ascii="標楷體" w:hAnsi="標楷體" w:hint="eastAsia"/>
                <w:sz w:val="28"/>
              </w:rPr>
              <w:t>鑑</w:t>
            </w:r>
            <w:proofErr w:type="gramEnd"/>
            <w:r w:rsidR="002C1EE5">
              <w:rPr>
                <w:rFonts w:ascii="標楷體" w:hAnsi="標楷體" w:hint="eastAsia"/>
                <w:sz w:val="28"/>
              </w:rPr>
              <w:t>界後如能正確認知土地</w:t>
            </w:r>
            <w:r w:rsidR="00C66983">
              <w:rPr>
                <w:rFonts w:ascii="標楷體" w:hAnsi="標楷體" w:hint="eastAsia"/>
                <w:sz w:val="28"/>
              </w:rPr>
              <w:t>界址</w:t>
            </w:r>
            <w:r w:rsidR="002C1EE5">
              <w:rPr>
                <w:rFonts w:ascii="標楷體" w:hAnsi="標楷體" w:hint="eastAsia"/>
                <w:sz w:val="28"/>
              </w:rPr>
              <w:t>位置，能降低土地糾紛，民眾</w:t>
            </w:r>
            <w:r w:rsidR="00784AFC">
              <w:rPr>
                <w:rFonts w:ascii="標楷體" w:hAnsi="標楷體" w:hint="eastAsia"/>
                <w:sz w:val="28"/>
              </w:rPr>
              <w:t>物</w:t>
            </w:r>
            <w:r w:rsidR="002C1EE5">
              <w:rPr>
                <w:rFonts w:ascii="標楷體" w:hAnsi="標楷體" w:hint="eastAsia"/>
                <w:sz w:val="28"/>
              </w:rPr>
              <w:t>權獲得保障，促進不動產之流通</w:t>
            </w:r>
            <w:r w:rsidR="002C1EE5">
              <w:rPr>
                <w:rFonts w:ascii="標楷體" w:hAnsi="標楷體" w:hint="eastAsia"/>
                <w:sz w:val="28"/>
                <w:szCs w:val="28"/>
              </w:rPr>
              <w:t>，實踐保</w:t>
            </w:r>
            <w:r w:rsidR="002C1EE5">
              <w:rPr>
                <w:rFonts w:ascii="標楷體" w:hAnsi="標楷體" w:hint="eastAsia"/>
                <w:sz w:val="28"/>
              </w:rPr>
              <w:t>障人民財產權。</w:t>
            </w:r>
          </w:p>
          <w:p w:rsidR="0024681D" w:rsidRDefault="0024681D" w:rsidP="002468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line="560" w:lineRule="exact"/>
              <w:ind w:leftChars="2" w:left="600" w:rightChars="132" w:right="422" w:hangingChars="212" w:hanging="594"/>
              <w:textAlignment w:val="bottom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三、提升民眾認同</w:t>
            </w:r>
            <w:r w:rsidR="00784AFC">
              <w:rPr>
                <w:rFonts w:ascii="標楷體" w:hAnsi="標楷體" w:hint="eastAsia"/>
                <w:sz w:val="28"/>
              </w:rPr>
              <w:t>-</w:t>
            </w:r>
          </w:p>
          <w:p w:rsidR="00913FAF" w:rsidRPr="007C5885" w:rsidRDefault="0024681D" w:rsidP="00784AFC">
            <w:pPr>
              <w:spacing w:line="440" w:lineRule="exact"/>
              <w:ind w:leftChars="20" w:left="683" w:rightChars="20" w:right="64" w:hangingChars="221" w:hanging="619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</w:rPr>
              <w:t xml:space="preserve">    </w:t>
            </w:r>
            <w:r w:rsidR="002C1EE5">
              <w:rPr>
                <w:rFonts w:ascii="標楷體" w:hAnsi="標楷體" w:hint="eastAsia"/>
                <w:sz w:val="28"/>
                <w:szCs w:val="28"/>
              </w:rPr>
              <w:t>土地位置透明化，</w:t>
            </w:r>
            <w:r w:rsidR="00784AFC">
              <w:rPr>
                <w:rFonts w:ascii="標楷體" w:hAnsi="標楷體" w:hint="eastAsia"/>
                <w:sz w:val="28"/>
                <w:szCs w:val="28"/>
              </w:rPr>
              <w:t>促進民眾對地政機關認同，減少對測量人員不必要之懷疑，增進行政效能，穩定土地價值。</w:t>
            </w:r>
          </w:p>
        </w:tc>
      </w:tr>
      <w:tr w:rsidR="00913FAF" w:rsidRPr="007C5885" w:rsidTr="006B7791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流程標準化及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公開化程度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（28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 xml:space="preserve"> 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784AFC" w:rsidRDefault="00784AFC" w:rsidP="006B7791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本所於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鑑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界收件後，送各承辦測量員，測量員審核後，由測量助理依照土地複丈成果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圖套繪</w:t>
            </w:r>
            <w:proofErr w:type="gramEnd"/>
            <w:r w:rsidR="00E3668F">
              <w:rPr>
                <w:rFonts w:ascii="標楷體" w:hAnsi="標楷體" w:hint="eastAsia"/>
                <w:sz w:val="28"/>
                <w:szCs w:val="28"/>
              </w:rPr>
              <w:t>航照影像作業流程辦理繪製，並於鑑界後由申請人簽收。</w:t>
            </w:r>
          </w:p>
          <w:p w:rsidR="00913FAF" w:rsidRPr="007C5885" w:rsidRDefault="00E3668F" w:rsidP="00E3668F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影像係由本所向行政院農業委員會林務局農林航空測量所購置本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所所轄航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照圖，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套繪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地籍圖後繪製。</w:t>
            </w:r>
          </w:p>
        </w:tc>
      </w:tr>
      <w:tr w:rsidR="00913FAF" w:rsidRPr="007C5885" w:rsidTr="006B7791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系統（或措施）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便捷性、完整性及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安全性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（18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 xml:space="preserve"> 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913FAF" w:rsidRPr="007C5885" w:rsidRDefault="00E3668F" w:rsidP="00913FAF">
            <w:pPr>
              <w:spacing w:line="440" w:lineRule="exact"/>
              <w:ind w:leftChars="-9" w:left="-29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航照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圖套繪地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籍圖印製於土地複丈成果圖後方，於鑑界後即發放給民眾，方便測量人員於現場解說，了解現場情況。</w:t>
            </w:r>
          </w:p>
        </w:tc>
      </w:tr>
      <w:tr w:rsidR="00913FAF" w:rsidRPr="007C5885" w:rsidTr="006B7791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民眾使用情形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（18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913FAF" w:rsidRPr="007C5885" w:rsidRDefault="00E3668F" w:rsidP="006B7791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民眾於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鑑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界後即領取土地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複丈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圖及背面航照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圖套繪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地籍圖圖資，自106年1月1日實施起至107年3月31日止，已發放944件。</w:t>
            </w:r>
          </w:p>
        </w:tc>
      </w:tr>
      <w:tr w:rsidR="00913FAF" w:rsidRPr="007C5885" w:rsidTr="006B7791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lastRenderedPageBreak/>
              <w:t>創新創意作為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（8%）</w:t>
            </w:r>
          </w:p>
        </w:tc>
        <w:tc>
          <w:tcPr>
            <w:tcW w:w="7358" w:type="dxa"/>
          </w:tcPr>
          <w:p w:rsidR="00913FAF" w:rsidRPr="007C5885" w:rsidRDefault="00827CD8" w:rsidP="006B7791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為方便申請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鑑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界民眾加深了解界址與周遭環境之關聯，利用航照圖及地籍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圖套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繪之地理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資訊圖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資，於鑑界時發放成果，避免民眾重複申請鑑界，為簡政便民之措施。</w:t>
            </w:r>
          </w:p>
        </w:tc>
      </w:tr>
      <w:tr w:rsidR="00913FAF" w:rsidRPr="007C5885" w:rsidTr="006B7791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相關附件</w:t>
            </w:r>
          </w:p>
        </w:tc>
        <w:tc>
          <w:tcPr>
            <w:tcW w:w="7358" w:type="dxa"/>
          </w:tcPr>
          <w:p w:rsidR="00913FAF" w:rsidRPr="001227FA" w:rsidRDefault="001227FA" w:rsidP="001227FA">
            <w:pPr>
              <w:pStyle w:val="a7"/>
              <w:numPr>
                <w:ilvl w:val="0"/>
                <w:numId w:val="2"/>
              </w:numPr>
              <w:spacing w:line="360" w:lineRule="auto"/>
              <w:ind w:leftChars="0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1227FA">
              <w:rPr>
                <w:rFonts w:ascii="標楷體" w:hAnsi="標楷體" w:hint="eastAsia"/>
                <w:color w:val="000000"/>
                <w:sz w:val="28"/>
                <w:szCs w:val="28"/>
              </w:rPr>
              <w:t>照得清</w:t>
            </w:r>
            <w:proofErr w:type="gramStart"/>
            <w:r w:rsidRPr="001227FA">
              <w:rPr>
                <w:rFonts w:ascii="標楷體" w:hAnsi="標楷體" w:hint="eastAsia"/>
                <w:color w:val="000000"/>
                <w:sz w:val="28"/>
                <w:szCs w:val="28"/>
              </w:rPr>
              <w:t>複</w:t>
            </w:r>
            <w:proofErr w:type="gramEnd"/>
            <w:r w:rsidRPr="001227FA">
              <w:rPr>
                <w:rFonts w:ascii="標楷體" w:hAnsi="標楷體" w:hint="eastAsia"/>
                <w:color w:val="000000"/>
                <w:sz w:val="28"/>
                <w:szCs w:val="28"/>
              </w:rPr>
              <w:t>丈成果圖計畫</w:t>
            </w:r>
            <w:r w:rsidR="00656A5F">
              <w:rPr>
                <w:rFonts w:ascii="標楷體" w:hAnsi="標楷體" w:hint="eastAsia"/>
                <w:color w:val="000000"/>
                <w:sz w:val="28"/>
                <w:szCs w:val="28"/>
              </w:rPr>
              <w:t>簽</w:t>
            </w:r>
          </w:p>
          <w:p w:rsidR="001227FA" w:rsidRPr="001227FA" w:rsidRDefault="001227FA" w:rsidP="001227FA">
            <w:pPr>
              <w:pStyle w:val="a7"/>
              <w:numPr>
                <w:ilvl w:val="0"/>
                <w:numId w:val="2"/>
              </w:numPr>
              <w:spacing w:line="360" w:lineRule="auto"/>
              <w:ind w:leftChars="0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照得清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複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丈計畫成果表</w:t>
            </w:r>
          </w:p>
        </w:tc>
      </w:tr>
      <w:tr w:rsidR="00913FAF" w:rsidRPr="007C5885" w:rsidTr="006B7791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聯絡窗口</w:t>
            </w:r>
          </w:p>
        </w:tc>
        <w:tc>
          <w:tcPr>
            <w:tcW w:w="7358" w:type="dxa"/>
          </w:tcPr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姓名：</w:t>
            </w:r>
            <w:r w:rsidR="00435400">
              <w:rPr>
                <w:rFonts w:ascii="標楷體" w:hAnsi="標楷體" w:hint="eastAsia"/>
                <w:color w:val="000000"/>
                <w:sz w:val="28"/>
                <w:szCs w:val="28"/>
              </w:rPr>
              <w:t>李青芸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電話：</w:t>
            </w:r>
            <w:r w:rsidR="00435400">
              <w:rPr>
                <w:rFonts w:ascii="標楷體" w:hAnsi="標楷體" w:hint="eastAsia"/>
                <w:color w:val="000000"/>
                <w:sz w:val="28"/>
                <w:szCs w:val="28"/>
              </w:rPr>
              <w:t>04-25263188#219</w:t>
            </w:r>
          </w:p>
          <w:p w:rsidR="00913FAF" w:rsidRPr="007C5885" w:rsidRDefault="00913FAF" w:rsidP="00913FAF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e-mail：</w:t>
            </w:r>
            <w:r w:rsidR="00435400">
              <w:rPr>
                <w:rFonts w:ascii="標楷體" w:hAnsi="標楷體" w:hint="eastAsia"/>
                <w:color w:val="000000"/>
                <w:sz w:val="28"/>
                <w:szCs w:val="28"/>
              </w:rPr>
              <w:t>Ab0511@taichung.gov.tw</w:t>
            </w:r>
          </w:p>
        </w:tc>
      </w:tr>
    </w:tbl>
    <w:p w:rsidR="007D4D38" w:rsidRPr="00827CD8" w:rsidRDefault="007D4D38" w:rsidP="00827CD8">
      <w:pPr>
        <w:spacing w:beforeLines="50" w:before="180" w:line="440" w:lineRule="exact"/>
        <w:ind w:left="284" w:rightChars="-289" w:right="-925"/>
      </w:pPr>
    </w:p>
    <w:sectPr w:rsidR="007D4D38" w:rsidRPr="00827C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E0C" w:rsidRDefault="00E95E0C" w:rsidP="00827CD8">
      <w:pPr>
        <w:spacing w:line="240" w:lineRule="auto"/>
      </w:pPr>
      <w:r>
        <w:separator/>
      </w:r>
    </w:p>
  </w:endnote>
  <w:endnote w:type="continuationSeparator" w:id="0">
    <w:p w:rsidR="00E95E0C" w:rsidRDefault="00E95E0C" w:rsidP="00827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E0C" w:rsidRDefault="00E95E0C" w:rsidP="00827CD8">
      <w:pPr>
        <w:spacing w:line="240" w:lineRule="auto"/>
      </w:pPr>
      <w:r>
        <w:separator/>
      </w:r>
    </w:p>
  </w:footnote>
  <w:footnote w:type="continuationSeparator" w:id="0">
    <w:p w:rsidR="00E95E0C" w:rsidRDefault="00E95E0C" w:rsidP="00827C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B0568"/>
    <w:multiLevelType w:val="hybridMultilevel"/>
    <w:tmpl w:val="3FE8132A"/>
    <w:lvl w:ilvl="0" w:tplc="06FAF8F4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abstractNum w:abstractNumId="1" w15:restartNumberingAfterBreak="0">
    <w:nsid w:val="7E90227F"/>
    <w:multiLevelType w:val="hybridMultilevel"/>
    <w:tmpl w:val="7146F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F"/>
    <w:rsid w:val="001227FA"/>
    <w:rsid w:val="002000FA"/>
    <w:rsid w:val="002224A0"/>
    <w:rsid w:val="0024681D"/>
    <w:rsid w:val="002C1EE5"/>
    <w:rsid w:val="002F47FD"/>
    <w:rsid w:val="00435400"/>
    <w:rsid w:val="004663CF"/>
    <w:rsid w:val="004851FF"/>
    <w:rsid w:val="005B4EF8"/>
    <w:rsid w:val="00656A5F"/>
    <w:rsid w:val="006B404D"/>
    <w:rsid w:val="00732AAB"/>
    <w:rsid w:val="00784AFC"/>
    <w:rsid w:val="007D4D38"/>
    <w:rsid w:val="00827CD8"/>
    <w:rsid w:val="00913FAF"/>
    <w:rsid w:val="009210A6"/>
    <w:rsid w:val="00BB4BF0"/>
    <w:rsid w:val="00C66983"/>
    <w:rsid w:val="00E3668F"/>
    <w:rsid w:val="00E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5668E8-6CFC-498B-9363-650F518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FAF"/>
    <w:pPr>
      <w:spacing w:line="240" w:lineRule="atLeast"/>
    </w:pPr>
    <w:rPr>
      <w:rFonts w:ascii="Calibri" w:eastAsia="標楷體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7CD8"/>
    <w:rPr>
      <w:rFonts w:ascii="Calibri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7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7CD8"/>
    <w:rPr>
      <w:rFonts w:ascii="Calibri" w:eastAsia="標楷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227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李青芸</dc:creator>
  <cp:lastModifiedBy>林孟慧</cp:lastModifiedBy>
  <cp:revision>2</cp:revision>
  <cp:lastPrinted>2018-07-04T05:51:00Z</cp:lastPrinted>
  <dcterms:created xsi:type="dcterms:W3CDTF">2019-02-22T02:46:00Z</dcterms:created>
  <dcterms:modified xsi:type="dcterms:W3CDTF">2019-02-22T02:46:00Z</dcterms:modified>
</cp:coreProperties>
</file>