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69" w:rsidRPr="007C5885" w:rsidRDefault="00455969" w:rsidP="00455969">
      <w:pPr>
        <w:spacing w:line="440" w:lineRule="exact"/>
        <w:jc w:val="center"/>
        <w:rPr>
          <w:rFonts w:ascii="標楷體" w:hAnsi="標楷體"/>
          <w:color w:val="000000"/>
          <w:sz w:val="40"/>
          <w:szCs w:val="40"/>
        </w:rPr>
      </w:pPr>
      <w:bookmarkStart w:id="0" w:name="_GoBack"/>
      <w:bookmarkEnd w:id="0"/>
      <w:proofErr w:type="gramStart"/>
      <w:r w:rsidRPr="007C5885">
        <w:rPr>
          <w:rFonts w:ascii="標楷體" w:hAnsi="標楷體"/>
          <w:b/>
          <w:color w:val="000000"/>
          <w:sz w:val="40"/>
          <w:szCs w:val="40"/>
        </w:rPr>
        <w:t>臺</w:t>
      </w:r>
      <w:proofErr w:type="gramEnd"/>
      <w:r w:rsidRPr="007C5885">
        <w:rPr>
          <w:rFonts w:ascii="標楷體" w:hAnsi="標楷體" w:hint="eastAsia"/>
          <w:b/>
          <w:color w:val="000000"/>
          <w:sz w:val="40"/>
          <w:szCs w:val="40"/>
        </w:rPr>
        <w:t>中</w:t>
      </w:r>
      <w:r w:rsidRPr="007C5885">
        <w:rPr>
          <w:rFonts w:ascii="標楷體" w:hAnsi="標楷體"/>
          <w:b/>
          <w:color w:val="000000"/>
          <w:sz w:val="40"/>
          <w:szCs w:val="40"/>
        </w:rPr>
        <w:t>市政府</w:t>
      </w:r>
      <w:r w:rsidRPr="007C5885">
        <w:rPr>
          <w:rFonts w:ascii="標楷體" w:hAnsi="標楷體" w:hint="eastAsia"/>
          <w:b/>
          <w:color w:val="000000"/>
          <w:sz w:val="40"/>
          <w:szCs w:val="40"/>
        </w:rPr>
        <w:t>「廉能</w:t>
      </w:r>
      <w:r w:rsidRPr="007C5885">
        <w:rPr>
          <w:rFonts w:ascii="標楷體" w:hAnsi="標楷體"/>
          <w:b/>
          <w:color w:val="000000"/>
          <w:sz w:val="40"/>
          <w:szCs w:val="40"/>
        </w:rPr>
        <w:t>透明獎</w:t>
      </w:r>
      <w:r w:rsidRPr="007C5885">
        <w:rPr>
          <w:rFonts w:ascii="標楷體" w:hAnsi="標楷體" w:hint="eastAsia"/>
          <w:b/>
          <w:color w:val="000000"/>
          <w:sz w:val="40"/>
          <w:szCs w:val="40"/>
        </w:rPr>
        <w:t>」</w:t>
      </w:r>
      <w:r w:rsidRPr="007C5885">
        <w:rPr>
          <w:rFonts w:ascii="標楷體" w:hAnsi="標楷體"/>
          <w:b/>
          <w:color w:val="000000"/>
          <w:sz w:val="40"/>
          <w:szCs w:val="40"/>
        </w:rPr>
        <w:t>申請表</w:t>
      </w:r>
    </w:p>
    <w:tbl>
      <w:tblPr>
        <w:tblW w:w="95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6"/>
        <w:gridCol w:w="7358"/>
      </w:tblGrid>
      <w:tr w:rsidR="00455969" w:rsidRPr="007C5885" w:rsidTr="00142B0F">
        <w:trPr>
          <w:trHeight w:val="655"/>
          <w:jc w:val="center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455969" w:rsidRPr="007C5885" w:rsidRDefault="00455969" w:rsidP="00142B0F">
            <w:pPr>
              <w:spacing w:line="44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7C5885">
              <w:rPr>
                <w:rFonts w:ascii="標楷體" w:hAnsi="標楷體"/>
                <w:b/>
                <w:color w:val="000000"/>
                <w:szCs w:val="32"/>
              </w:rPr>
              <w:t>臺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中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市政府</w:t>
            </w:r>
            <w:r>
              <w:rPr>
                <w:rFonts w:ascii="標楷體" w:hAnsi="標楷體" w:hint="eastAsia"/>
                <w:b/>
                <w:color w:val="000000"/>
                <w:szCs w:val="32"/>
              </w:rPr>
              <w:t>「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廉能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透明獎</w:t>
            </w:r>
            <w:r w:rsidRPr="007C5885">
              <w:rPr>
                <w:rFonts w:ascii="標楷體" w:hAnsi="標楷體" w:hint="eastAsia"/>
                <w:b/>
                <w:color w:val="000000"/>
                <w:szCs w:val="32"/>
              </w:rPr>
              <w:t>」一般參賽類</w:t>
            </w:r>
            <w:r w:rsidRPr="007C5885">
              <w:rPr>
                <w:rFonts w:ascii="標楷體" w:hAnsi="標楷體"/>
                <w:b/>
                <w:color w:val="000000"/>
                <w:szCs w:val="32"/>
              </w:rPr>
              <w:t>申請表</w:t>
            </w:r>
          </w:p>
        </w:tc>
      </w:tr>
      <w:tr w:rsidR="00455969" w:rsidRPr="007C5885" w:rsidTr="00142B0F">
        <w:trPr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提案機關</w:t>
            </w:r>
          </w:p>
        </w:tc>
        <w:tc>
          <w:tcPr>
            <w:tcW w:w="7358" w:type="dxa"/>
            <w:vAlign w:val="center"/>
          </w:tcPr>
          <w:p w:rsidR="00455969" w:rsidRPr="00250C2A" w:rsidRDefault="00455969" w:rsidP="00142B0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proofErr w:type="gramStart"/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中市政府地政局</w:t>
            </w:r>
          </w:p>
        </w:tc>
      </w:tr>
      <w:tr w:rsidR="00455969" w:rsidRPr="007C5885" w:rsidTr="00142B0F">
        <w:trPr>
          <w:trHeight w:val="65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單位主管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職稱及姓名</w:t>
            </w:r>
          </w:p>
        </w:tc>
        <w:tc>
          <w:tcPr>
            <w:tcW w:w="7358" w:type="dxa"/>
            <w:vAlign w:val="center"/>
          </w:tcPr>
          <w:p w:rsidR="00455969" w:rsidRPr="00250C2A" w:rsidRDefault="00455969" w:rsidP="00142B0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重劃科</w:t>
            </w:r>
          </w:p>
          <w:p w:rsidR="00455969" w:rsidRPr="00250C2A" w:rsidRDefault="00455969" w:rsidP="00142B0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科長余俊政</w:t>
            </w:r>
          </w:p>
        </w:tc>
      </w:tr>
      <w:tr w:rsidR="00455969" w:rsidRPr="007C5885" w:rsidTr="00142B0F">
        <w:trPr>
          <w:trHeight w:val="892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主要辦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理</w:t>
            </w: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人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員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455969" w:rsidRPr="00250C2A" w:rsidRDefault="00455969" w:rsidP="00142B0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重劃科紀俊輝</w:t>
            </w:r>
          </w:p>
          <w:p w:rsidR="00455969" w:rsidRPr="00250C2A" w:rsidRDefault="00455969" w:rsidP="00142B0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措施計畫擬定及執行</w:t>
            </w:r>
          </w:p>
        </w:tc>
      </w:tr>
      <w:tr w:rsidR="00455969" w:rsidRPr="007C5885" w:rsidTr="00142B0F">
        <w:trPr>
          <w:trHeight w:val="82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協助辦理人員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及負責工作</w:t>
            </w:r>
          </w:p>
        </w:tc>
        <w:tc>
          <w:tcPr>
            <w:tcW w:w="7358" w:type="dxa"/>
            <w:vAlign w:val="center"/>
          </w:tcPr>
          <w:p w:rsidR="00455969" w:rsidRPr="00250C2A" w:rsidRDefault="00455969" w:rsidP="00142B0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重劃科全體同仁</w:t>
            </w:r>
          </w:p>
        </w:tc>
      </w:tr>
      <w:tr w:rsidR="00455969" w:rsidRPr="007C5885" w:rsidTr="00142B0F">
        <w:trPr>
          <w:trHeight w:val="775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透明化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措施名稱</w:t>
            </w:r>
          </w:p>
        </w:tc>
        <w:tc>
          <w:tcPr>
            <w:tcW w:w="7358" w:type="dxa"/>
            <w:vAlign w:val="center"/>
          </w:tcPr>
          <w:p w:rsidR="00455969" w:rsidRDefault="00455969" w:rsidP="00142B0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「地主參與保權益 重劃決策有效率」</w:t>
            </w:r>
          </w:p>
          <w:p w:rsidR="00455969" w:rsidRPr="00250C2A" w:rsidRDefault="00455969" w:rsidP="00142B0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                   -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市地重劃委員會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地主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代表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直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選</w:t>
            </w:r>
          </w:p>
        </w:tc>
      </w:tr>
      <w:tr w:rsidR="00455969" w:rsidRPr="007C5885" w:rsidTr="00142B0F">
        <w:trPr>
          <w:trHeight w:val="970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措施</w:t>
            </w: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7358" w:type="dxa"/>
          </w:tcPr>
          <w:p w:rsidR="00455969" w:rsidRDefault="00455969" w:rsidP="00142B0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中市市地重劃委員會設置要點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規定委員會之委員包含</w:t>
            </w:r>
            <w:r w:rsidRPr="00C61FBD">
              <w:rPr>
                <w:rFonts w:ascii="標楷體" w:hAnsi="標楷體" w:hint="eastAsia"/>
                <w:color w:val="000000"/>
                <w:sz w:val="28"/>
                <w:szCs w:val="28"/>
              </w:rPr>
              <w:t>正辦理中之公辦重劃區土地所有權人代表二至六人，由重劃區土地所有權人推選之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(附件1)</w:t>
            </w:r>
            <w:r w:rsidRPr="00C61FBD"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惟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就土地所有權人代表推選程序，以往尚無規範，為免衍生推選程序不公之爭議情事，於參酌公職人員選舉罷免法等相關規定，在擴大民眾參與及資訊公開透明之原則下，制定</w:t>
            </w:r>
            <w:proofErr w:type="gramStart"/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中市市地重劃委員會土地所有權人代表推選作業要點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(附件2)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及推選作業計畫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(附件3)，作為土地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地所有權人代表推選之依據。</w:t>
            </w:r>
          </w:p>
          <w:p w:rsidR="00455969" w:rsidRPr="00250C2A" w:rsidRDefault="00455969" w:rsidP="00142B0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重劃委員會由地主推選之代表參與重劃區增設巷道、調整分配等各項事務之共同決策，除能代表重劃區內土地所有權人之意見外，也充分達到重劃廉政透明機制，保障土地所有權人之權益，提升重劃決策之效率。</w:t>
            </w:r>
          </w:p>
        </w:tc>
      </w:tr>
      <w:tr w:rsidR="00455969" w:rsidRPr="007C5885" w:rsidTr="00142B0F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proofErr w:type="gramStart"/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興利防弊</w:t>
            </w:r>
            <w:proofErr w:type="gramEnd"/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、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外部監督價值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455969" w:rsidRPr="00C61FBD" w:rsidRDefault="00455969" w:rsidP="00455969">
            <w:pPr>
              <w:numPr>
                <w:ilvl w:val="0"/>
                <w:numId w:val="1"/>
              </w:numPr>
              <w:spacing w:line="440" w:lineRule="exact"/>
              <w:ind w:left="679" w:rightChars="20" w:right="64" w:hanging="5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C61FBD">
              <w:rPr>
                <w:rFonts w:ascii="標楷體" w:hAnsi="標楷體" w:hint="eastAsia"/>
                <w:color w:val="000000"/>
                <w:sz w:val="28"/>
                <w:szCs w:val="28"/>
              </w:rPr>
              <w:t>市地重劃委員會任務審議事項，</w:t>
            </w:r>
            <w:proofErr w:type="gramStart"/>
            <w:r w:rsidRPr="00C61FBD">
              <w:rPr>
                <w:rFonts w:ascii="標楷體" w:hAnsi="標楷體" w:hint="eastAsia"/>
                <w:color w:val="000000"/>
                <w:sz w:val="28"/>
                <w:szCs w:val="28"/>
              </w:rPr>
              <w:t>攸</w:t>
            </w:r>
            <w:proofErr w:type="gramEnd"/>
            <w:r w:rsidRPr="00C61FBD">
              <w:rPr>
                <w:rFonts w:ascii="標楷體" w:hAnsi="標楷體" w:hint="eastAsia"/>
                <w:color w:val="000000"/>
                <w:sz w:val="28"/>
                <w:szCs w:val="28"/>
              </w:rPr>
              <w:t>關重劃區全體土地所有權人之土地分配權益，透過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公開推選制度由土地所有權人推選委員，並參與後續的重劃作業事項審議，避免以往遭質疑委員選任不公之疑慮，達到顯著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之興利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防弊價值。</w:t>
            </w:r>
          </w:p>
          <w:p w:rsidR="00455969" w:rsidRPr="00DC6C28" w:rsidRDefault="00455969" w:rsidP="00455969">
            <w:pPr>
              <w:numPr>
                <w:ilvl w:val="0"/>
                <w:numId w:val="1"/>
              </w:numPr>
              <w:spacing w:line="440" w:lineRule="exact"/>
              <w:ind w:left="679" w:rightChars="20" w:right="64" w:hanging="567"/>
              <w:jc w:val="both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proofErr w:type="gramStart"/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中市市地重劃委員會設置要點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及選舉過程各項作業以公告及雙掛號郵寄方式通知各土地所有權人，選舉日並由各土地所有權人全程參與投票及開票，達到民眾外部監督之目的(附件4)。</w:t>
            </w:r>
          </w:p>
          <w:p w:rsidR="00455969" w:rsidRPr="00FE6819" w:rsidRDefault="00455969" w:rsidP="00455969">
            <w:pPr>
              <w:numPr>
                <w:ilvl w:val="0"/>
                <w:numId w:val="1"/>
              </w:numPr>
              <w:spacing w:line="440" w:lineRule="exact"/>
              <w:ind w:left="679" w:rightChars="20" w:right="64" w:hanging="567"/>
              <w:jc w:val="both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proofErr w:type="gramStart"/>
            <w:r w:rsidRPr="00401C7F">
              <w:rPr>
                <w:rFonts w:ascii="標楷體" w:hAnsi="標楷體" w:hint="eastAsia"/>
                <w:color w:val="000000"/>
                <w:sz w:val="28"/>
                <w:szCs w:val="28"/>
              </w:rPr>
              <w:lastRenderedPageBreak/>
              <w:t>往例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市地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重劃委員會土地所有權人代表，或</w:t>
            </w:r>
            <w:r w:rsidRPr="00401C7F">
              <w:rPr>
                <w:rFonts w:ascii="標楷體" w:hAnsi="標楷體" w:hint="eastAsia"/>
                <w:color w:val="000000"/>
                <w:sz w:val="28"/>
                <w:szCs w:val="28"/>
              </w:rPr>
              <w:t>以通訊投票方式產生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，或</w:t>
            </w:r>
            <w:r w:rsidRPr="00401C7F">
              <w:rPr>
                <w:rFonts w:ascii="標楷體" w:hAnsi="標楷體" w:hint="eastAsia"/>
                <w:color w:val="000000"/>
                <w:sz w:val="28"/>
                <w:szCs w:val="28"/>
              </w:rPr>
              <w:t>以轄區區公所推薦為之，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或集體開會選舉</w:t>
            </w:r>
            <w:r w:rsidRPr="00401C7F">
              <w:rPr>
                <w:rFonts w:ascii="標楷體" w:hAnsi="標楷體" w:hint="eastAsia"/>
                <w:color w:val="000000"/>
                <w:sz w:val="28"/>
                <w:szCs w:val="28"/>
              </w:rPr>
              <w:t>產生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。藉由本項措施之實施，除達到民眾外部監督之目的，發揮顯著透明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之興利防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弊價值外，亦可簡化以往通訊投票或推薦推選之程序，提升土地所有權人推選效率。</w:t>
            </w:r>
          </w:p>
          <w:p w:rsidR="00455969" w:rsidRPr="00E00FF3" w:rsidRDefault="00455969" w:rsidP="00455969">
            <w:pPr>
              <w:numPr>
                <w:ilvl w:val="0"/>
                <w:numId w:val="1"/>
              </w:numPr>
              <w:spacing w:line="440" w:lineRule="exact"/>
              <w:ind w:left="679" w:rightChars="20" w:right="64" w:hanging="567"/>
              <w:jc w:val="both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4C6994">
              <w:rPr>
                <w:rFonts w:ascii="標楷體" w:hAnsi="標楷體" w:hint="eastAsia"/>
                <w:color w:val="000000"/>
                <w:sz w:val="28"/>
                <w:szCs w:val="28"/>
              </w:rPr>
              <w:t>第14期重劃區重劃委員會地主代表已於107年參與審議重劃區內之增設巷道，除代表重劃區土地所有權人提供意見外，更達到共同決策及監督市府各項政策之價值，提升廉政透明之效率。</w:t>
            </w:r>
          </w:p>
        </w:tc>
      </w:tr>
      <w:tr w:rsidR="00455969" w:rsidRPr="00E00FF3" w:rsidTr="00142B0F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lastRenderedPageBreak/>
              <w:t>流程標準化及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公開化程度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（28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 xml:space="preserve"> 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455969" w:rsidRDefault="00455969" w:rsidP="00455969">
            <w:pPr>
              <w:numPr>
                <w:ilvl w:val="0"/>
                <w:numId w:val="2"/>
              </w:numPr>
              <w:spacing w:line="440" w:lineRule="exact"/>
              <w:ind w:left="626" w:hanging="5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E00FF3">
              <w:rPr>
                <w:rFonts w:ascii="標楷體" w:hAnsi="標楷體" w:hint="eastAsia"/>
                <w:color w:val="000000"/>
                <w:sz w:val="28"/>
                <w:szCs w:val="28"/>
              </w:rPr>
              <w:t>為免衍生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土地所有權人代表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推選程序不公之爭議情事，</w:t>
            </w:r>
            <w:r w:rsidRPr="00E00FF3">
              <w:rPr>
                <w:rFonts w:ascii="標楷體" w:hAnsi="標楷體" w:hint="eastAsia"/>
                <w:color w:val="000000"/>
                <w:sz w:val="28"/>
                <w:szCs w:val="28"/>
              </w:rPr>
              <w:t>參酌原</w:t>
            </w:r>
            <w:proofErr w:type="gramStart"/>
            <w:r w:rsidRPr="00E00FF3"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E00FF3">
              <w:rPr>
                <w:rFonts w:ascii="標楷體" w:hAnsi="標楷體" w:hint="eastAsia"/>
                <w:color w:val="000000"/>
                <w:sz w:val="28"/>
                <w:szCs w:val="28"/>
              </w:rPr>
              <w:t>中縣、市政府之推選方式及公職人員選舉罷免法等相關規定，在擴大民眾參與及資訊公開透明之原則下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制定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「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臺中市市地重劃委員會土地所有權人代表推選作業要點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」，作為標準作業流程之程序，並公開於本府主管法規查詢系統及相關網站。</w:t>
            </w:r>
          </w:p>
          <w:p w:rsidR="00455969" w:rsidRDefault="00455969" w:rsidP="00455969">
            <w:pPr>
              <w:numPr>
                <w:ilvl w:val="0"/>
                <w:numId w:val="2"/>
              </w:numPr>
              <w:spacing w:line="440" w:lineRule="exact"/>
              <w:ind w:left="626" w:hanging="5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辦理選舉過程之各項通知訊息，依據</w:t>
            </w:r>
            <w:proofErr w:type="gramStart"/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中市市地重劃委員會土地所有權人代表推選作業要點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所定流程及規定期限，除於發布選舉公告時，即通知各土地所有權人外，本局網站亦即時張貼公告訊息，並依據選舉公告所訂日期，於轄區區公所公告周知(附件5)，選舉投開票當日，亦當場唱票及統計得票數，以達到</w:t>
            </w:r>
            <w:r w:rsidRPr="00D505BE">
              <w:rPr>
                <w:rFonts w:ascii="標楷體" w:hAnsi="標楷體"/>
                <w:color w:val="000000"/>
                <w:sz w:val="28"/>
                <w:szCs w:val="28"/>
              </w:rPr>
              <w:t>公平、公正、公開的程序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55969" w:rsidRPr="004C6994" w:rsidRDefault="00455969" w:rsidP="00455969">
            <w:pPr>
              <w:numPr>
                <w:ilvl w:val="0"/>
                <w:numId w:val="2"/>
              </w:numPr>
              <w:spacing w:line="440" w:lineRule="exact"/>
              <w:ind w:left="626" w:hanging="5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各項作業程序皆依照推選作業要點規定辦理，辦理流程公開、公平且正確。地主代表參與重劃委員會之決策，也充分表達重劃區土地所有權人意見，達到流程標準化、決策公開化之目的。</w:t>
            </w:r>
          </w:p>
        </w:tc>
      </w:tr>
      <w:tr w:rsidR="00455969" w:rsidRPr="00997268" w:rsidTr="00142B0F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系統（或措施）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便捷性、完整性及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pacing w:val="-14"/>
                <w:sz w:val="28"/>
                <w:szCs w:val="28"/>
              </w:rPr>
              <w:t>安全性</w:t>
            </w:r>
          </w:p>
          <w:p w:rsidR="00455969" w:rsidRPr="007C5885" w:rsidRDefault="00455969" w:rsidP="00455969">
            <w:pPr>
              <w:numPr>
                <w:ilvl w:val="0"/>
                <w:numId w:val="3"/>
              </w:numPr>
              <w:spacing w:line="440" w:lineRule="exact"/>
              <w:ind w:rightChars="20" w:right="64"/>
              <w:jc w:val="center"/>
              <w:rPr>
                <w:rFonts w:ascii="標楷體" w:hAnsi="標楷體"/>
                <w:b/>
                <w:color w:val="000000"/>
                <w:spacing w:val="-14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proofErr w:type="gramStart"/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  <w:proofErr w:type="gramEnd"/>
          </w:p>
        </w:tc>
        <w:tc>
          <w:tcPr>
            <w:tcW w:w="7358" w:type="dxa"/>
          </w:tcPr>
          <w:p w:rsidR="00455969" w:rsidRDefault="00455969" w:rsidP="00455969">
            <w:pPr>
              <w:numPr>
                <w:ilvl w:val="0"/>
                <w:numId w:val="4"/>
              </w:numPr>
              <w:spacing w:line="440" w:lineRule="exact"/>
              <w:ind w:left="626" w:hanging="5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15385">
              <w:rPr>
                <w:rFonts w:ascii="標楷體" w:hAnsi="標楷體" w:hint="eastAsia"/>
                <w:color w:val="000000"/>
                <w:sz w:val="28"/>
                <w:szCs w:val="28"/>
              </w:rPr>
              <w:t>本項措施於發布選舉公告，即以雙掛號方式寄達通知各土地所有權人，並置於本局市地重劃專區最新消息周知。</w:t>
            </w:r>
          </w:p>
          <w:p w:rsidR="00455969" w:rsidRPr="00815385" w:rsidRDefault="00455969" w:rsidP="00455969">
            <w:pPr>
              <w:numPr>
                <w:ilvl w:val="0"/>
                <w:numId w:val="4"/>
              </w:numPr>
              <w:spacing w:line="440" w:lineRule="exact"/>
              <w:ind w:left="626" w:hanging="5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15385">
              <w:rPr>
                <w:rFonts w:ascii="標楷體" w:hAnsi="標楷體" w:hint="eastAsia"/>
                <w:color w:val="000000"/>
                <w:sz w:val="28"/>
                <w:szCs w:val="28"/>
              </w:rPr>
              <w:lastRenderedPageBreak/>
              <w:t>於選舉公告通知公文書件上，並已載明重劃區內各工區之查詢及聯繫窗口，提供土地所有權人查詢相關資訊，降低以往選舉不公之爭議，土地所有權人並清楚瞭解本項措施之執行方式，無另生爭議事項。</w:t>
            </w:r>
          </w:p>
          <w:p w:rsidR="00455969" w:rsidRDefault="00455969" w:rsidP="00455969">
            <w:pPr>
              <w:numPr>
                <w:ilvl w:val="0"/>
                <w:numId w:val="4"/>
              </w:numPr>
              <w:spacing w:line="440" w:lineRule="exact"/>
              <w:ind w:left="626" w:hanging="5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推選執行之方式，藉由選舉公告通知，各土地所有權人得填具申請表件向本局申請擔任委員候選人，本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局業依據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中市市地重劃委員會土地所有權人代表推選作業要點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規定，依申請收件先後順序主動回覆登記號次(附件6</w:t>
            </w:r>
            <w:r w:rsidRPr="00D505BE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55969" w:rsidRDefault="00455969" w:rsidP="00455969">
            <w:pPr>
              <w:numPr>
                <w:ilvl w:val="0"/>
                <w:numId w:val="4"/>
              </w:numPr>
              <w:spacing w:line="440" w:lineRule="exact"/>
              <w:ind w:left="626" w:hanging="5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土地所有權人申請登記為候選人，所需填具之資料表件，主要為個人資料及簡介，淺顯易懂。</w:t>
            </w:r>
          </w:p>
          <w:p w:rsidR="00455969" w:rsidRPr="00997268" w:rsidRDefault="00455969" w:rsidP="00455969">
            <w:pPr>
              <w:numPr>
                <w:ilvl w:val="0"/>
                <w:numId w:val="4"/>
              </w:numPr>
              <w:spacing w:line="440" w:lineRule="exact"/>
              <w:ind w:left="626" w:hanging="5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公告候選人名單及選舉人名冊，亦適時隱藏各選舉人身分證部分號碼及土地資訊，作為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安全性控管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55969" w:rsidRPr="007C5885" w:rsidTr="00142B0F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lastRenderedPageBreak/>
              <w:t>民眾使用情形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（18</w:t>
            </w:r>
            <w:r w:rsidRPr="007C5885">
              <w:rPr>
                <w:rFonts w:ascii="標楷體" w:hAnsi="標楷體"/>
                <w:color w:val="000000"/>
                <w:spacing w:val="-14"/>
              </w:rPr>
              <w:t>%</w:t>
            </w:r>
            <w:r w:rsidRPr="007C5885">
              <w:rPr>
                <w:rFonts w:ascii="標楷體" w:hAnsi="標楷體" w:hint="eastAsia"/>
                <w:color w:val="000000"/>
                <w:spacing w:val="-14"/>
              </w:rPr>
              <w:t>）</w:t>
            </w:r>
          </w:p>
        </w:tc>
        <w:tc>
          <w:tcPr>
            <w:tcW w:w="7358" w:type="dxa"/>
          </w:tcPr>
          <w:p w:rsidR="00455969" w:rsidRPr="00815385" w:rsidRDefault="00455969" w:rsidP="00455969">
            <w:pPr>
              <w:numPr>
                <w:ilvl w:val="0"/>
                <w:numId w:val="5"/>
              </w:numPr>
              <w:spacing w:line="440" w:lineRule="exact"/>
              <w:ind w:left="626" w:hanging="5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第14期市地重劃區自106年2月6日發布選舉公告起，106年3月9日認定選舉人資格日止，選舉人計3</w:t>
            </w:r>
            <w:r w:rsidRPr="00250C2A">
              <w:rPr>
                <w:rFonts w:ascii="標楷體" w:hAnsi="標楷體"/>
                <w:color w:val="000000"/>
                <w:sz w:val="28"/>
                <w:szCs w:val="28"/>
              </w:rPr>
              <w:t>,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424人，106年4月7日登記截止，計22人登記參選，於106年5月6日投票，投票人數1</w:t>
            </w:r>
            <w:r w:rsidRPr="00250C2A">
              <w:rPr>
                <w:rFonts w:ascii="標楷體" w:hAnsi="標楷體"/>
                <w:color w:val="000000"/>
                <w:sz w:val="28"/>
                <w:szCs w:val="28"/>
              </w:rPr>
              <w:t>,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102人，有效票數1</w:t>
            </w:r>
            <w:r w:rsidRPr="00250C2A">
              <w:rPr>
                <w:rFonts w:ascii="標楷體" w:hAnsi="標楷體"/>
                <w:color w:val="000000"/>
                <w:sz w:val="28"/>
                <w:szCs w:val="28"/>
              </w:rPr>
              <w:t>,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090張，順利選舉出6人擔任第14期市地重劃區土地所有權人代表，並於106年5月12日公告當選人名單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(附件7</w:t>
            </w:r>
            <w:r w:rsidRPr="00D505BE"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  <w:r w:rsidRPr="00250C2A">
              <w:rPr>
                <w:rFonts w:ascii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455969" w:rsidRPr="00815385" w:rsidRDefault="00455969" w:rsidP="00455969">
            <w:pPr>
              <w:numPr>
                <w:ilvl w:val="0"/>
                <w:numId w:val="5"/>
              </w:numPr>
              <w:spacing w:line="440" w:lineRule="exact"/>
              <w:ind w:left="626" w:hanging="567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本項措施後續將作為各市地重劃區推選土地所有權人代表之依據，並持續積極推廣宣導，提升各重劃區土地所有權人參與使用率。</w:t>
            </w:r>
          </w:p>
        </w:tc>
      </w:tr>
      <w:tr w:rsidR="00455969" w:rsidRPr="007C5885" w:rsidTr="00142B0F">
        <w:trPr>
          <w:trHeight w:val="976"/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創新創意作為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 w:hint="eastAsia"/>
                <w:color w:val="000000"/>
                <w:spacing w:val="-14"/>
              </w:rPr>
              <w:t>（8%）</w:t>
            </w:r>
          </w:p>
        </w:tc>
        <w:tc>
          <w:tcPr>
            <w:tcW w:w="7358" w:type="dxa"/>
          </w:tcPr>
          <w:p w:rsidR="00455969" w:rsidRDefault="00455969" w:rsidP="00142B0F">
            <w:pPr>
              <w:spacing w:line="440" w:lineRule="exact"/>
              <w:ind w:firstLineChars="200" w:firstLine="560"/>
              <w:jc w:val="both"/>
              <w:rPr>
                <w:rFonts w:ascii="Helvetica" w:hAnsi="Helvetica" w:cs="Helvetica"/>
                <w:spacing w:val="8"/>
                <w:sz w:val="28"/>
                <w:szCs w:val="28"/>
                <w:shd w:val="clear" w:color="auto" w:fill="FFFFFF"/>
              </w:rPr>
            </w:pPr>
            <w:r w:rsidRPr="00271E1C">
              <w:rPr>
                <w:rFonts w:ascii="標楷體" w:hAnsi="標楷體" w:hint="eastAsia"/>
                <w:sz w:val="28"/>
                <w:szCs w:val="28"/>
              </w:rPr>
              <w:t>以往公辦市地重劃委員會土地所有權人代表的產生，無明確選任規範，為使民眾了解政府施政並參與公共議題，</w:t>
            </w:r>
            <w:r>
              <w:rPr>
                <w:rFonts w:ascii="標楷體" w:hAnsi="標楷體" w:hint="eastAsia"/>
                <w:sz w:val="28"/>
                <w:szCs w:val="28"/>
              </w:rPr>
              <w:t>本市第14期市地重劃區</w:t>
            </w:r>
            <w:r w:rsidRPr="00271E1C">
              <w:rPr>
                <w:rFonts w:ascii="標楷體" w:hAnsi="標楷體" w:hint="eastAsia"/>
                <w:sz w:val="28"/>
                <w:szCs w:val="28"/>
              </w:rPr>
              <w:t>首創以「地主投票」方式選出地主代表，</w:t>
            </w:r>
            <w:r w:rsidRPr="00271E1C">
              <w:rPr>
                <w:rFonts w:ascii="Helvetica" w:hAnsi="Helvetica" w:cs="Helvetica"/>
                <w:spacing w:val="8"/>
                <w:sz w:val="28"/>
                <w:szCs w:val="28"/>
                <w:shd w:val="clear" w:color="auto" w:fill="FFFFFF"/>
              </w:rPr>
              <w:t>選舉程序及開票</w:t>
            </w:r>
            <w:proofErr w:type="gramStart"/>
            <w:r w:rsidRPr="00271E1C">
              <w:rPr>
                <w:rFonts w:ascii="Helvetica" w:hAnsi="Helvetica" w:cs="Helvetica"/>
                <w:spacing w:val="8"/>
                <w:sz w:val="28"/>
                <w:szCs w:val="28"/>
                <w:shd w:val="clear" w:color="auto" w:fill="FFFFFF"/>
              </w:rPr>
              <w:t>過程均經政</w:t>
            </w:r>
            <w:proofErr w:type="gramEnd"/>
            <w:r w:rsidRPr="00271E1C">
              <w:rPr>
                <w:rFonts w:ascii="Helvetica" w:hAnsi="Helvetica" w:cs="Helvetica"/>
                <w:spacing w:val="8"/>
                <w:sz w:val="28"/>
                <w:szCs w:val="28"/>
                <w:shd w:val="clear" w:color="auto" w:fill="FFFFFF"/>
              </w:rPr>
              <w:t>風</w:t>
            </w:r>
            <w:r w:rsidRPr="00271E1C"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人員</w:t>
            </w:r>
            <w:r w:rsidRPr="00271E1C">
              <w:rPr>
                <w:rFonts w:ascii="Helvetica" w:hAnsi="Helvetica" w:cs="Helvetica"/>
                <w:spacing w:val="8"/>
                <w:sz w:val="28"/>
                <w:szCs w:val="28"/>
                <w:shd w:val="clear" w:color="auto" w:fill="FFFFFF"/>
              </w:rPr>
              <w:t>全程參與監督，在公平、公正、公開的程序下進行</w:t>
            </w: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附件</w:t>
            </w: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8)</w:t>
            </w:r>
            <w:r w:rsidRPr="00271E1C"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。</w:t>
            </w:r>
          </w:p>
          <w:p w:rsidR="00455969" w:rsidRPr="00A1097B" w:rsidRDefault="00455969" w:rsidP="00142B0F">
            <w:pPr>
              <w:spacing w:line="440" w:lineRule="exact"/>
              <w:ind w:firstLineChars="200" w:firstLine="592"/>
              <w:jc w:val="both"/>
              <w:rPr>
                <w:rFonts w:ascii="Helvetica" w:hAnsi="Helvetica" w:cs="Helvetica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選任後重劃委員，代表第</w:t>
            </w: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14</w:t>
            </w: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期市地重劃區土地所有權人參與重劃事務之審議，充分表達重劃區在地之土地所</w:t>
            </w: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lastRenderedPageBreak/>
              <w:t>有權人意見，也加速重劃區業務之推展及決策效率</w:t>
            </w: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附件</w:t>
            </w: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9)</w:t>
            </w: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，</w:t>
            </w:r>
            <w:r w:rsidRPr="00271E1C"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足可作為各縣市學習之標竿</w:t>
            </w:r>
            <w:r>
              <w:rPr>
                <w:rFonts w:ascii="Helvetica" w:hAnsi="Helvetica" w:cs="Helvetica" w:hint="eastAsia"/>
                <w:spacing w:val="8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455969" w:rsidRPr="007C5885" w:rsidTr="00142B0F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lastRenderedPageBreak/>
              <w:t>相關附件</w:t>
            </w:r>
          </w:p>
        </w:tc>
        <w:tc>
          <w:tcPr>
            <w:tcW w:w="7358" w:type="dxa"/>
          </w:tcPr>
          <w:p w:rsidR="00455969" w:rsidRPr="00A1097B" w:rsidRDefault="00455969" w:rsidP="00142B0F">
            <w:pPr>
              <w:spacing w:line="440" w:lineRule="exact"/>
              <w:ind w:leftChars="20" w:left="64" w:rightChars="20" w:right="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097B">
              <w:rPr>
                <w:rFonts w:ascii="Times New Roman" w:hAnsi="Times New Roman"/>
                <w:color w:val="000000"/>
                <w:sz w:val="28"/>
                <w:szCs w:val="28"/>
              </w:rPr>
              <w:t>如附件</w:t>
            </w:r>
            <w:r w:rsidRPr="00A109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1097B">
              <w:rPr>
                <w:rFonts w:ascii="Times New Roman" w:hAnsi="Times New Roman"/>
                <w:color w:val="000000"/>
                <w:sz w:val="28"/>
                <w:szCs w:val="28"/>
              </w:rPr>
              <w:t>至附件</w:t>
            </w:r>
            <w:r w:rsidRPr="00A1097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55969" w:rsidRPr="007C5885" w:rsidTr="00142B0F">
        <w:trPr>
          <w:jc w:val="center"/>
        </w:trPr>
        <w:tc>
          <w:tcPr>
            <w:tcW w:w="2166" w:type="dxa"/>
            <w:shd w:val="pct25" w:color="C0C0C0" w:fill="auto"/>
            <w:vAlign w:val="center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distribute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b/>
                <w:color w:val="000000"/>
                <w:sz w:val="28"/>
                <w:szCs w:val="28"/>
              </w:rPr>
              <w:t>聯絡窗口</w:t>
            </w:r>
          </w:p>
        </w:tc>
        <w:tc>
          <w:tcPr>
            <w:tcW w:w="7358" w:type="dxa"/>
          </w:tcPr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姓名：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紀俊輝</w:t>
            </w: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電話：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04-22170658</w:t>
            </w:r>
          </w:p>
          <w:p w:rsidR="00455969" w:rsidRPr="007C5885" w:rsidRDefault="00455969" w:rsidP="00142B0F">
            <w:pPr>
              <w:spacing w:line="440" w:lineRule="exact"/>
              <w:ind w:leftChars="20" w:left="64" w:rightChars="20" w:right="6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7C5885">
              <w:rPr>
                <w:rFonts w:ascii="標楷體" w:hAnsi="標楷體"/>
                <w:color w:val="000000"/>
                <w:sz w:val="28"/>
                <w:szCs w:val="28"/>
              </w:rPr>
              <w:t>e-mail：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chui@taichung.gov.tw</w:t>
            </w:r>
          </w:p>
        </w:tc>
      </w:tr>
    </w:tbl>
    <w:p w:rsidR="00455969" w:rsidRDefault="00455969" w:rsidP="00455969"/>
    <w:p w:rsidR="00CF6E49" w:rsidRPr="00455969" w:rsidRDefault="00CF6E49"/>
    <w:sectPr w:rsidR="00CF6E49" w:rsidRPr="004559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D5F83"/>
    <w:multiLevelType w:val="hybridMultilevel"/>
    <w:tmpl w:val="01E2790E"/>
    <w:lvl w:ilvl="0" w:tplc="0BAC4156">
      <w:start w:val="18"/>
      <w:numFmt w:val="decimal"/>
      <w:lvlText w:val="（%1"/>
      <w:lvlJc w:val="left"/>
      <w:pPr>
        <w:ind w:left="784" w:hanging="720"/>
      </w:pPr>
      <w:rPr>
        <w:rFonts w:hint="default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1" w15:restartNumberingAfterBreak="0">
    <w:nsid w:val="5CE21506"/>
    <w:multiLevelType w:val="hybridMultilevel"/>
    <w:tmpl w:val="4B28D672"/>
    <w:lvl w:ilvl="0" w:tplc="8DB87506">
      <w:start w:val="1"/>
      <w:numFmt w:val="taiwaneseCountingThousand"/>
      <w:lvlText w:val="%1、"/>
      <w:lvlJc w:val="left"/>
      <w:pPr>
        <w:ind w:left="78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2" w15:restartNumberingAfterBreak="0">
    <w:nsid w:val="61665B25"/>
    <w:multiLevelType w:val="hybridMultilevel"/>
    <w:tmpl w:val="FDC6534E"/>
    <w:lvl w:ilvl="0" w:tplc="F02414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0B4824"/>
    <w:multiLevelType w:val="hybridMultilevel"/>
    <w:tmpl w:val="FDC6534E"/>
    <w:lvl w:ilvl="0" w:tplc="F02414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FE4119"/>
    <w:multiLevelType w:val="hybridMultilevel"/>
    <w:tmpl w:val="FDC6534E"/>
    <w:lvl w:ilvl="0" w:tplc="F02414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69"/>
    <w:rsid w:val="0044729B"/>
    <w:rsid w:val="00455969"/>
    <w:rsid w:val="00C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0793F-1DF5-4DBB-84BF-05C2F7E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969"/>
    <w:pPr>
      <w:spacing w:line="240" w:lineRule="atLeast"/>
    </w:pPr>
    <w:rPr>
      <w:rFonts w:ascii="Calibri" w:eastAsia="標楷體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曾千容</dc:creator>
  <cp:keywords/>
  <dc:description/>
  <cp:lastModifiedBy>林孟慧</cp:lastModifiedBy>
  <cp:revision>2</cp:revision>
  <dcterms:created xsi:type="dcterms:W3CDTF">2019-02-21T08:14:00Z</dcterms:created>
  <dcterms:modified xsi:type="dcterms:W3CDTF">2019-02-21T08:14:00Z</dcterms:modified>
</cp:coreProperties>
</file>