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2F" w:rsidRPr="00A16E76" w:rsidRDefault="00AE66E1" w:rsidP="00A16E76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proofErr w:type="gramStart"/>
      <w:r w:rsidRPr="00A16E76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A16E76">
        <w:rPr>
          <w:rFonts w:ascii="標楷體" w:eastAsia="標楷體" w:hAnsi="標楷體" w:hint="eastAsia"/>
          <w:b/>
          <w:sz w:val="32"/>
        </w:rPr>
        <w:t>中市政府廉能透明獎</w:t>
      </w:r>
    </w:p>
    <w:p w:rsidR="00AE66E1" w:rsidRPr="00A16E76" w:rsidRDefault="00AE66E1" w:rsidP="00A16E76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A16E76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7969"/>
      </w:tblGrid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提案機關</w:t>
            </w:r>
          </w:p>
        </w:tc>
        <w:tc>
          <w:tcPr>
            <w:tcW w:w="8026" w:type="dxa"/>
            <w:vAlign w:val="center"/>
          </w:tcPr>
          <w:p w:rsidR="00AE66E1" w:rsidRPr="00AE66E1" w:rsidRDefault="00D650C2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A16E76">
              <w:rPr>
                <w:rFonts w:ascii="標楷體" w:eastAsia="標楷體" w:hAnsi="標楷體" w:hint="eastAsia"/>
                <w:b/>
                <w:sz w:val="32"/>
              </w:rPr>
              <w:t>臺</w:t>
            </w:r>
            <w:proofErr w:type="gramEnd"/>
            <w:r w:rsidRPr="00A16E76">
              <w:rPr>
                <w:rFonts w:ascii="標楷體" w:eastAsia="標楷體" w:hAnsi="標楷體" w:hint="eastAsia"/>
                <w:b/>
                <w:sz w:val="32"/>
              </w:rPr>
              <w:t>中市</w:t>
            </w:r>
            <w:r w:rsidR="00487FD5">
              <w:rPr>
                <w:rFonts w:ascii="標楷體" w:eastAsia="標楷體" w:hAnsi="標楷體" w:hint="eastAsia"/>
                <w:b/>
                <w:sz w:val="32"/>
              </w:rPr>
              <w:t>南屯</w:t>
            </w:r>
            <w:r>
              <w:rPr>
                <w:rFonts w:ascii="標楷體" w:eastAsia="標楷體" w:hAnsi="標楷體" w:hint="eastAsia"/>
                <w:b/>
                <w:sz w:val="32"/>
              </w:rPr>
              <w:t>區公所</w:t>
            </w:r>
          </w:p>
        </w:tc>
      </w:tr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單位主管職稱及姓名</w:t>
            </w:r>
          </w:p>
        </w:tc>
        <w:tc>
          <w:tcPr>
            <w:tcW w:w="8026" w:type="dxa"/>
            <w:vAlign w:val="center"/>
          </w:tcPr>
          <w:p w:rsidR="00AE66E1" w:rsidRPr="00AE66E1" w:rsidRDefault="00362A2C" w:rsidP="009561D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農建</w:t>
            </w:r>
            <w:proofErr w:type="gramStart"/>
            <w:r w:rsidR="0092040A">
              <w:rPr>
                <w:rFonts w:ascii="標楷體" w:eastAsia="標楷體" w:hAnsi="標楷體" w:hint="eastAsia"/>
                <w:sz w:val="28"/>
              </w:rPr>
              <w:t>課</w:t>
            </w:r>
            <w:proofErr w:type="gramEnd"/>
            <w:r w:rsidR="009561D8">
              <w:rPr>
                <w:rFonts w:ascii="標楷體" w:eastAsia="標楷體" w:hAnsi="標楷體" w:hint="eastAsia"/>
                <w:sz w:val="28"/>
              </w:rPr>
              <w:t>課長 賴進益</w:t>
            </w:r>
            <w:r w:rsidR="0092040A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主要辦理人員及負責工作</w:t>
            </w:r>
          </w:p>
        </w:tc>
        <w:tc>
          <w:tcPr>
            <w:tcW w:w="8026" w:type="dxa"/>
            <w:vAlign w:val="center"/>
          </w:tcPr>
          <w:p w:rsidR="0092040A" w:rsidRPr="00AE66E1" w:rsidRDefault="00487FD5" w:rsidP="009561D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農建課</w:t>
            </w:r>
            <w:proofErr w:type="gramEnd"/>
            <w:r w:rsidR="009561D8">
              <w:rPr>
                <w:rFonts w:ascii="標楷體" w:eastAsia="標楷體" w:hAnsi="標楷體" w:hint="eastAsia"/>
                <w:sz w:val="28"/>
              </w:rPr>
              <w:t xml:space="preserve"> 技士曹智堯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協助辦理人員及負責工作</w:t>
            </w:r>
          </w:p>
        </w:tc>
        <w:tc>
          <w:tcPr>
            <w:tcW w:w="8026" w:type="dxa"/>
            <w:vAlign w:val="center"/>
          </w:tcPr>
          <w:p w:rsidR="00AE66E1" w:rsidRPr="00AE66E1" w:rsidRDefault="00631D5A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秘書室</w:t>
            </w:r>
            <w:r w:rsidR="00073566">
              <w:rPr>
                <w:rFonts w:ascii="標楷體" w:eastAsia="標楷體" w:hAnsi="標楷體" w:hint="eastAsia"/>
                <w:sz w:val="28"/>
              </w:rPr>
              <w:t>羅如君</w:t>
            </w:r>
            <w:r w:rsidR="009561D8">
              <w:rPr>
                <w:rFonts w:ascii="標楷體" w:eastAsia="標楷體" w:hAnsi="標楷體" w:hint="eastAsia"/>
                <w:sz w:val="28"/>
              </w:rPr>
              <w:t>、農建課程</w:t>
            </w:r>
            <w:proofErr w:type="gramStart"/>
            <w:r w:rsidR="009561D8">
              <w:rPr>
                <w:rFonts w:ascii="標楷體" w:eastAsia="標楷體" w:hAnsi="標楷體" w:hint="eastAsia"/>
                <w:sz w:val="28"/>
              </w:rPr>
              <w:t>薰</w:t>
            </w:r>
            <w:proofErr w:type="gramEnd"/>
            <w:r w:rsidR="009561D8">
              <w:rPr>
                <w:rFonts w:ascii="標楷體" w:eastAsia="標楷體" w:hAnsi="標楷體" w:hint="eastAsia"/>
                <w:sz w:val="28"/>
              </w:rPr>
              <w:t>徵、</w:t>
            </w:r>
            <w:proofErr w:type="gramStart"/>
            <w:r w:rsidR="009561D8">
              <w:rPr>
                <w:rFonts w:ascii="標楷體" w:eastAsia="標楷體" w:hAnsi="標楷體" w:hint="eastAsia"/>
                <w:sz w:val="28"/>
              </w:rPr>
              <w:t>吳雨</w:t>
            </w:r>
            <w:proofErr w:type="gramEnd"/>
            <w:r w:rsidR="009561D8">
              <w:rPr>
                <w:rFonts w:ascii="標楷體" w:eastAsia="標楷體" w:hAnsi="標楷體" w:hint="eastAsia"/>
                <w:sz w:val="28"/>
              </w:rPr>
              <w:t>柔</w:t>
            </w:r>
          </w:p>
        </w:tc>
      </w:tr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透明化措施名稱</w:t>
            </w:r>
          </w:p>
        </w:tc>
        <w:tc>
          <w:tcPr>
            <w:tcW w:w="8026" w:type="dxa"/>
            <w:vAlign w:val="center"/>
          </w:tcPr>
          <w:p w:rsidR="00AE66E1" w:rsidRPr="00AE66E1" w:rsidRDefault="00362A2C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路平燈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亮鄰里安好透明化措施</w:t>
            </w:r>
          </w:p>
        </w:tc>
      </w:tr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措施簡介</w:t>
            </w:r>
          </w:p>
        </w:tc>
        <w:tc>
          <w:tcPr>
            <w:tcW w:w="8026" w:type="dxa"/>
            <w:vAlign w:val="center"/>
          </w:tcPr>
          <w:p w:rsidR="00AE66E1" w:rsidRPr="00AE66E1" w:rsidRDefault="003A4707" w:rsidP="009561D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本透明化措施於</w:t>
            </w:r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本所網頁上傳</w:t>
            </w:r>
            <w:r w:rsidR="00875BCD">
              <w:rPr>
                <w:rFonts w:ascii="標楷體" w:eastAsia="標楷體" w:hAnsi="標楷體" w:hint="eastAsia"/>
                <w:color w:val="000000" w:themeColor="text1"/>
                <w:sz w:val="28"/>
              </w:rPr>
              <w:t>本</w:t>
            </w:r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所辦理中</w:t>
            </w:r>
            <w:r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道路維護</w:t>
            </w:r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工程告示及宣導資料，同時於各年度結束後</w:t>
            </w:r>
            <w:proofErr w:type="gramStart"/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上傳彙整</w:t>
            </w:r>
            <w:proofErr w:type="gramEnd"/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年度統計資料，可即時</w:t>
            </w:r>
            <w:r w:rsidR="005A2985"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提供</w:t>
            </w:r>
            <w:r w:rsidR="00A71BD4"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民眾</w:t>
            </w:r>
            <w:r w:rsidR="005A2985"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線上</w:t>
            </w:r>
            <w:r w:rsidR="00BF684F"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查詢</w:t>
            </w:r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辦理中工程名稱及施工</w:t>
            </w:r>
            <w:proofErr w:type="gramStart"/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期間</w:t>
            </w:r>
            <w:proofErr w:type="gramEnd"/>
            <w:r w:rsidR="00C97B23">
              <w:rPr>
                <w:rFonts w:ascii="標楷體" w:eastAsia="標楷體" w:hAnsi="標楷體" w:hint="eastAsia"/>
                <w:color w:val="000000" w:themeColor="text1"/>
                <w:sz w:val="28"/>
              </w:rPr>
              <w:t>，並了解全年度執行成效</w:t>
            </w:r>
            <w:r w:rsidR="005A2985" w:rsidRPr="00BF684F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A16E76">
              <w:rPr>
                <w:rFonts w:ascii="標楷體" w:eastAsia="標楷體" w:hAnsi="標楷體" w:hint="eastAsia"/>
                <w:b/>
                <w:sz w:val="28"/>
              </w:rPr>
              <w:t>興利防弊</w:t>
            </w:r>
            <w:proofErr w:type="gramEnd"/>
            <w:r w:rsidRPr="00A16E76">
              <w:rPr>
                <w:rFonts w:ascii="標楷體" w:eastAsia="標楷體" w:hAnsi="標楷體" w:hint="eastAsia"/>
                <w:b/>
                <w:sz w:val="28"/>
              </w:rPr>
              <w:t>、外部監督價值(28%)</w:t>
            </w:r>
          </w:p>
        </w:tc>
        <w:tc>
          <w:tcPr>
            <w:tcW w:w="8026" w:type="dxa"/>
            <w:vAlign w:val="center"/>
          </w:tcPr>
          <w:p w:rsidR="00AE66E1" w:rsidRDefault="004D1719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D87CDC">
              <w:rPr>
                <w:rFonts w:ascii="標楷體" w:eastAsia="標楷體" w:hAnsi="標楷體" w:hint="eastAsia"/>
                <w:sz w:val="28"/>
              </w:rPr>
              <w:t>資訊公開</w:t>
            </w:r>
            <w:r w:rsidR="00BD2ADE">
              <w:rPr>
                <w:rFonts w:ascii="標楷體" w:eastAsia="標楷體" w:hAnsi="標楷體" w:hint="eastAsia"/>
                <w:sz w:val="28"/>
              </w:rPr>
              <w:t>利於工程宣導</w:t>
            </w:r>
          </w:p>
          <w:p w:rsidR="003E4F40" w:rsidRPr="0044356A" w:rsidRDefault="00C97B23" w:rsidP="009561D8">
            <w:pPr>
              <w:spacing w:line="360" w:lineRule="exact"/>
              <w:ind w:leftChars="250" w:left="600"/>
              <w:jc w:val="both"/>
              <w:rPr>
                <w:rFonts w:ascii="標楷體" w:eastAsia="標楷體" w:hAnsi="標楷體"/>
                <w:strike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民眾可藉由網頁查詢到公所在建工程名稱及施工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並藉由告示內容及宣導內容</w:t>
            </w:r>
            <w:r w:rsidR="00707B0D">
              <w:rPr>
                <w:rFonts w:ascii="標楷體" w:eastAsia="標楷體" w:hAnsi="標楷體" w:hint="eastAsia"/>
                <w:color w:val="000000" w:themeColor="text1"/>
                <w:sz w:val="28"/>
              </w:rPr>
              <w:t>掌握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公所辦理之工程</w:t>
            </w:r>
            <w:r w:rsidR="00707B0D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704D2B" w:rsidRDefault="0044356A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A522D3">
              <w:rPr>
                <w:rFonts w:ascii="標楷體" w:eastAsia="標楷體" w:hAnsi="標楷體" w:hint="eastAsia"/>
                <w:sz w:val="28"/>
              </w:rPr>
              <w:t>、</w:t>
            </w:r>
            <w:r w:rsidR="00BD2ADE">
              <w:rPr>
                <w:rFonts w:ascii="標楷體" w:eastAsia="標楷體" w:hAnsi="標楷體" w:hint="eastAsia"/>
                <w:sz w:val="28"/>
              </w:rPr>
              <w:t>提供告示強化全民督工</w:t>
            </w:r>
          </w:p>
          <w:p w:rsidR="00A522D3" w:rsidRPr="00AE66E1" w:rsidRDefault="00A522D3" w:rsidP="009561D8">
            <w:pPr>
              <w:spacing w:line="360" w:lineRule="exact"/>
              <w:ind w:leftChars="250" w:left="600"/>
              <w:jc w:val="both"/>
              <w:rPr>
                <w:rFonts w:ascii="標楷體" w:eastAsia="標楷體" w:hAnsi="標楷體"/>
                <w:sz w:val="28"/>
              </w:rPr>
            </w:pPr>
            <w:r w:rsidRPr="004D1719">
              <w:rPr>
                <w:rFonts w:ascii="標楷體" w:eastAsia="標楷體" w:hAnsi="標楷體" w:hint="eastAsia"/>
                <w:color w:val="000000" w:themeColor="text1"/>
                <w:sz w:val="28"/>
              </w:rPr>
              <w:t>本</w:t>
            </w:r>
            <w:r w:rsidR="00BD2ADE">
              <w:rPr>
                <w:rFonts w:ascii="標楷體" w:eastAsia="標楷體" w:hAnsi="標楷體" w:hint="eastAsia"/>
                <w:color w:val="000000" w:themeColor="text1"/>
                <w:sz w:val="28"/>
              </w:rPr>
              <w:t>措施將工程告示及宣導資訊上傳網頁，便利民眾了解工程資訊並強化全民督工。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流程標準化及公開化程度(28%)</w:t>
            </w:r>
          </w:p>
        </w:tc>
        <w:tc>
          <w:tcPr>
            <w:tcW w:w="8026" w:type="dxa"/>
            <w:vAlign w:val="center"/>
          </w:tcPr>
          <w:p w:rsidR="004D1719" w:rsidRPr="00BD2ADE" w:rsidRDefault="00BD2ADE" w:rsidP="009561D8">
            <w:pPr>
              <w:pStyle w:val="a8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D2ADE">
              <w:rPr>
                <w:rFonts w:ascii="標楷體" w:eastAsia="標楷體" w:hAnsi="標楷體" w:hint="eastAsia"/>
                <w:sz w:val="28"/>
              </w:rPr>
              <w:t>工程開工後即上傳工程告示及宣導資料，操作</w:t>
            </w:r>
            <w:r w:rsidR="00704D2B" w:rsidRPr="00BD2ADE">
              <w:rPr>
                <w:rFonts w:ascii="標楷體" w:eastAsia="標楷體" w:hAnsi="標楷體" w:hint="eastAsia"/>
                <w:sz w:val="28"/>
              </w:rPr>
              <w:t>簡單</w:t>
            </w:r>
            <w:r>
              <w:rPr>
                <w:rFonts w:ascii="標楷體" w:eastAsia="標楷體" w:hAnsi="標楷體" w:hint="eastAsia"/>
                <w:sz w:val="28"/>
              </w:rPr>
              <w:t>資訊易懂</w:t>
            </w:r>
            <w:r w:rsidR="004D1719" w:rsidRPr="00BD2ADE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便利</w:t>
            </w:r>
            <w:r w:rsidR="004D1719" w:rsidRPr="00BD2ADE">
              <w:rPr>
                <w:rFonts w:ascii="標楷體" w:eastAsia="標楷體" w:hAnsi="標楷體" w:hint="eastAsia"/>
                <w:sz w:val="28"/>
              </w:rPr>
              <w:t>民眾了解監督。</w:t>
            </w:r>
          </w:p>
          <w:p w:rsidR="00704D2B" w:rsidRPr="00AE66E1" w:rsidRDefault="00704D2B" w:rsidP="009561D8">
            <w:pPr>
              <w:spacing w:line="36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r w:rsidR="00BD2ADE">
              <w:rPr>
                <w:rFonts w:ascii="標楷體" w:eastAsia="標楷體" w:hAnsi="標楷體" w:hint="eastAsia"/>
                <w:sz w:val="28"/>
              </w:rPr>
              <w:t>每件在建工程皆即時公告，提供民眾隨時查詢即時</w:t>
            </w:r>
            <w:r>
              <w:rPr>
                <w:rFonts w:ascii="標楷體" w:eastAsia="標楷體" w:hAnsi="標楷體" w:hint="eastAsia"/>
                <w:sz w:val="28"/>
              </w:rPr>
              <w:t>監督。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系統(或措施)便捷性、完整性及安全性(18%)</w:t>
            </w:r>
          </w:p>
        </w:tc>
        <w:tc>
          <w:tcPr>
            <w:tcW w:w="8026" w:type="dxa"/>
            <w:vAlign w:val="center"/>
          </w:tcPr>
          <w:p w:rsidR="00E162ED" w:rsidRPr="00124581" w:rsidRDefault="00E162ED" w:rsidP="009561D8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24581">
              <w:rPr>
                <w:rFonts w:ascii="標楷體" w:eastAsia="標楷體" w:hAnsi="標楷體" w:hint="eastAsia"/>
                <w:sz w:val="28"/>
              </w:rPr>
              <w:t>便捷性</w:t>
            </w:r>
            <w:r w:rsidR="00246453" w:rsidRPr="00124581">
              <w:rPr>
                <w:rFonts w:ascii="標楷體" w:eastAsia="標楷體" w:hAnsi="標楷體" w:hint="eastAsia"/>
                <w:sz w:val="28"/>
              </w:rPr>
              <w:t>：</w:t>
            </w:r>
            <w:r w:rsidR="007646D1">
              <w:rPr>
                <w:rFonts w:ascii="標楷體" w:eastAsia="標楷體" w:hAnsi="標楷體" w:hint="eastAsia"/>
                <w:sz w:val="28"/>
              </w:rPr>
              <w:t>任何人</w:t>
            </w:r>
            <w:r w:rsidR="009B0D92">
              <w:rPr>
                <w:rFonts w:ascii="標楷體" w:eastAsia="標楷體" w:hAnsi="標楷體" w:hint="eastAsia"/>
                <w:sz w:val="28"/>
              </w:rPr>
              <w:t>可藉由</w:t>
            </w:r>
            <w:r w:rsidR="007646D1">
              <w:rPr>
                <w:rFonts w:ascii="標楷體" w:eastAsia="標楷體" w:hAnsi="標楷體" w:hint="eastAsia"/>
                <w:sz w:val="28"/>
              </w:rPr>
              <w:t>網路經本所</w:t>
            </w:r>
            <w:r w:rsidR="009B0D92">
              <w:rPr>
                <w:rFonts w:ascii="標楷體" w:eastAsia="標楷體" w:hAnsi="標楷體" w:hint="eastAsia"/>
                <w:sz w:val="28"/>
              </w:rPr>
              <w:t>網站</w:t>
            </w:r>
            <w:r w:rsidR="007646D1">
              <w:rPr>
                <w:rFonts w:ascii="標楷體" w:eastAsia="標楷體" w:hAnsi="標楷體" w:hint="eastAsia"/>
                <w:sz w:val="28"/>
              </w:rPr>
              <w:t>隨時</w:t>
            </w:r>
            <w:r w:rsidR="009B0D92">
              <w:rPr>
                <w:rFonts w:ascii="標楷體" w:eastAsia="標楷體" w:hAnsi="標楷體" w:hint="eastAsia"/>
                <w:sz w:val="28"/>
              </w:rPr>
              <w:t>查得</w:t>
            </w:r>
            <w:r w:rsidR="007646D1">
              <w:rPr>
                <w:rFonts w:ascii="標楷體" w:eastAsia="標楷體" w:hAnsi="標楷體" w:hint="eastAsia"/>
                <w:sz w:val="28"/>
              </w:rPr>
              <w:t>在建</w:t>
            </w:r>
            <w:r w:rsidR="009B0D92">
              <w:rPr>
                <w:rFonts w:ascii="標楷體" w:eastAsia="標楷體" w:hAnsi="標楷體" w:hint="eastAsia"/>
                <w:sz w:val="28"/>
              </w:rPr>
              <w:t>工程</w:t>
            </w:r>
            <w:r w:rsidR="007646D1">
              <w:rPr>
                <w:rFonts w:ascii="標楷體" w:eastAsia="標楷體" w:hAnsi="標楷體" w:hint="eastAsia"/>
                <w:sz w:val="28"/>
              </w:rPr>
              <w:t>相關資訊，</w:t>
            </w:r>
            <w:r w:rsidR="009B42D5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即可隨時掌握</w:t>
            </w:r>
            <w:r w:rsidR="003C272C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道路</w:t>
            </w:r>
            <w:r w:rsidR="009B42D5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維修</w:t>
            </w:r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</w:t>
            </w:r>
            <w:r w:rsidR="009B42D5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情形</w:t>
            </w:r>
            <w:r w:rsidR="00246453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E162ED" w:rsidRDefault="00E162ED" w:rsidP="009561D8">
            <w:pPr>
              <w:spacing w:line="36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二、完整性</w:t>
            </w:r>
            <w:r w:rsidR="00246453">
              <w:rPr>
                <w:rFonts w:ascii="標楷體" w:eastAsia="標楷體" w:hAnsi="標楷體" w:hint="eastAsia"/>
                <w:sz w:val="28"/>
              </w:rPr>
              <w:t>：</w:t>
            </w:r>
            <w:r w:rsidR="00707B0D">
              <w:rPr>
                <w:rFonts w:ascii="標楷體" w:eastAsia="標楷體" w:hAnsi="標楷體" w:hint="eastAsia"/>
                <w:color w:val="000000" w:themeColor="text1"/>
                <w:sz w:val="28"/>
              </w:rPr>
              <w:t>本所辦理</w:t>
            </w:r>
            <w:r w:rsidR="003C272C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道路</w:t>
            </w:r>
            <w:r w:rsidR="00246453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相關</w:t>
            </w:r>
            <w:r w:rsid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維修</w:t>
            </w:r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工程</w:t>
            </w:r>
            <w:proofErr w:type="gramStart"/>
            <w:r w:rsidR="00246453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</w:t>
            </w:r>
            <w:r w:rsid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均</w:t>
            </w:r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依工程</w:t>
            </w:r>
            <w:proofErr w:type="gramEnd"/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期程即時上傳公告</w:t>
            </w:r>
            <w:r w:rsidR="003C5A9D" w:rsidRPr="003C272C">
              <w:rPr>
                <w:rFonts w:ascii="標楷體" w:eastAsia="標楷體" w:hAnsi="標楷體" w:hint="eastAsia"/>
                <w:color w:val="000000" w:themeColor="text1"/>
                <w:sz w:val="28"/>
              </w:rPr>
              <w:t>，利於查詢使用</w:t>
            </w:r>
            <w:r w:rsidR="003C5A9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8565F" w:rsidRPr="00AE66E1" w:rsidRDefault="00E162ED" w:rsidP="009561D8">
            <w:pPr>
              <w:spacing w:line="36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三、安全性</w:t>
            </w:r>
            <w:r w:rsidR="00246453">
              <w:rPr>
                <w:rFonts w:ascii="標楷體" w:eastAsia="標楷體" w:hAnsi="標楷體" w:hint="eastAsia"/>
                <w:sz w:val="28"/>
              </w:rPr>
              <w:t>：</w:t>
            </w:r>
            <w:r w:rsidR="007646D1">
              <w:rPr>
                <w:rFonts w:ascii="標楷體" w:eastAsia="標楷體" w:hAnsi="標楷體" w:hint="eastAsia"/>
                <w:sz w:val="28"/>
              </w:rPr>
              <w:t>以更便利方式提供工程公開資訊，提升民眾知的權益，更強化全民督工之落實，確保工程品質</w:t>
            </w:r>
            <w:r w:rsidR="003C5A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民眾使用情形(18%)</w:t>
            </w:r>
          </w:p>
        </w:tc>
        <w:tc>
          <w:tcPr>
            <w:tcW w:w="8026" w:type="dxa"/>
            <w:vAlign w:val="center"/>
          </w:tcPr>
          <w:p w:rsidR="0088565F" w:rsidRPr="00A52693" w:rsidRDefault="00707B0D" w:rsidP="009561D8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本措施公告施工</w:t>
            </w:r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告示資訊，提供</w:t>
            </w:r>
            <w:r w:rsidR="00A96ADD" w:rsidRPr="0044356A">
              <w:rPr>
                <w:rFonts w:ascii="標楷體" w:eastAsia="標楷體" w:hAnsi="標楷體" w:hint="eastAsia"/>
                <w:color w:val="000000" w:themeColor="text1"/>
                <w:sz w:val="28"/>
              </w:rPr>
              <w:t>民眾容易</w:t>
            </w:r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了解之施工</w:t>
            </w:r>
            <w:r w:rsidR="00A96ADD" w:rsidRPr="0044356A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</w:t>
            </w:r>
            <w:r w:rsidR="007646D1">
              <w:rPr>
                <w:rFonts w:ascii="標楷體" w:eastAsia="標楷體" w:hAnsi="標楷體" w:hint="eastAsia"/>
                <w:color w:val="000000" w:themeColor="text1"/>
                <w:sz w:val="28"/>
              </w:rPr>
              <w:t>，便利民眾使用及監督</w:t>
            </w:r>
            <w:r w:rsidR="00A96ADD" w:rsidRPr="0044356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創新創意作為(8%)</w:t>
            </w:r>
          </w:p>
        </w:tc>
        <w:tc>
          <w:tcPr>
            <w:tcW w:w="8026" w:type="dxa"/>
            <w:vAlign w:val="center"/>
          </w:tcPr>
          <w:p w:rsidR="00F41231" w:rsidRPr="00AE66E1" w:rsidRDefault="007646D1" w:rsidP="009561D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提供全民了解本所在建之工程，較傳統工程告示牌立於工區之作法，能主動</w:t>
            </w:r>
            <w:r w:rsidR="0084420B">
              <w:rPr>
                <w:rFonts w:ascii="標楷體" w:eastAsia="標楷體" w:hAnsi="標楷體" w:hint="eastAsia"/>
                <w:sz w:val="28"/>
              </w:rPr>
              <w:t>公開</w:t>
            </w:r>
            <w:r>
              <w:rPr>
                <w:rFonts w:ascii="標楷體" w:eastAsia="標楷體" w:hAnsi="標楷體" w:hint="eastAsia"/>
                <w:sz w:val="28"/>
              </w:rPr>
              <w:t>給更廣泛</w:t>
            </w:r>
            <w:r w:rsidR="0084420B">
              <w:rPr>
                <w:rFonts w:ascii="標楷體" w:eastAsia="標楷體" w:hAnsi="標楷體" w:hint="eastAsia"/>
                <w:sz w:val="28"/>
              </w:rPr>
              <w:t>民眾</w:t>
            </w:r>
            <w:r>
              <w:rPr>
                <w:rFonts w:ascii="標楷體" w:eastAsia="標楷體" w:hAnsi="標楷體" w:hint="eastAsia"/>
                <w:sz w:val="28"/>
              </w:rPr>
              <w:t>獲得工程資訊更落實全民督工</w:t>
            </w:r>
            <w:r w:rsidR="003C27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相關附件</w:t>
            </w:r>
          </w:p>
        </w:tc>
        <w:tc>
          <w:tcPr>
            <w:tcW w:w="8026" w:type="dxa"/>
            <w:vAlign w:val="center"/>
          </w:tcPr>
          <w:p w:rsidR="00AE66E1" w:rsidRPr="00AE66E1" w:rsidRDefault="00E162ED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如後附件資料。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lastRenderedPageBreak/>
              <w:t>聯絡窗口</w:t>
            </w:r>
          </w:p>
        </w:tc>
        <w:tc>
          <w:tcPr>
            <w:tcW w:w="8026" w:type="dxa"/>
            <w:vAlign w:val="center"/>
          </w:tcPr>
          <w:p w:rsidR="00AE66E1" w:rsidRPr="00AE66E1" w:rsidRDefault="00AE66E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66E1">
              <w:rPr>
                <w:rFonts w:ascii="標楷體" w:eastAsia="標楷體" w:hAnsi="標楷體" w:hint="eastAsia"/>
                <w:sz w:val="28"/>
              </w:rPr>
              <w:t>姓名：</w:t>
            </w:r>
            <w:r w:rsidR="009561D8">
              <w:rPr>
                <w:rFonts w:ascii="標楷體" w:eastAsia="標楷體" w:hAnsi="標楷體" w:hint="eastAsia"/>
                <w:sz w:val="28"/>
              </w:rPr>
              <w:t>曹智堯</w:t>
            </w:r>
          </w:p>
          <w:p w:rsidR="00AE66E1" w:rsidRPr="00AE66E1" w:rsidRDefault="00AE66E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66E1">
              <w:rPr>
                <w:rFonts w:ascii="標楷體" w:eastAsia="標楷體" w:hAnsi="標楷體" w:hint="eastAsia"/>
                <w:sz w:val="28"/>
              </w:rPr>
              <w:t>電話：</w:t>
            </w:r>
            <w:r w:rsidR="009561D8">
              <w:rPr>
                <w:rFonts w:ascii="標楷體" w:eastAsia="標楷體" w:hAnsi="標楷體" w:hint="eastAsia"/>
                <w:sz w:val="28"/>
              </w:rPr>
              <w:t>04-24752799</w:t>
            </w:r>
            <w:r w:rsidR="00E162ED">
              <w:rPr>
                <w:rFonts w:ascii="標楷體" w:eastAsia="標楷體" w:hAnsi="標楷體" w:hint="eastAsia"/>
                <w:sz w:val="28"/>
              </w:rPr>
              <w:t>轉</w:t>
            </w:r>
            <w:r w:rsidR="009561D8">
              <w:rPr>
                <w:rFonts w:ascii="標楷體" w:eastAsia="標楷體" w:hAnsi="標楷體" w:hint="eastAsia"/>
                <w:sz w:val="28"/>
              </w:rPr>
              <w:t>810</w:t>
            </w:r>
          </w:p>
          <w:p w:rsidR="00AE66E1" w:rsidRPr="00AE66E1" w:rsidRDefault="00AE66E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66E1">
              <w:rPr>
                <w:rFonts w:ascii="標楷體" w:eastAsia="標楷體" w:hAnsi="標楷體" w:hint="eastAsia"/>
                <w:sz w:val="28"/>
              </w:rPr>
              <w:t>e-mail：</w:t>
            </w:r>
            <w:r w:rsidR="00177561">
              <w:rPr>
                <w:rFonts w:ascii="標楷體" w:eastAsia="標楷體" w:hAnsi="標楷體" w:hint="eastAsia"/>
                <w:sz w:val="28"/>
              </w:rPr>
              <w:t>n</w:t>
            </w:r>
            <w:r w:rsidR="00177561">
              <w:rPr>
                <w:rFonts w:ascii="標楷體" w:eastAsia="標楷體" w:hAnsi="標楷體"/>
                <w:sz w:val="28"/>
              </w:rPr>
              <w:t>t4018</w:t>
            </w:r>
            <w:r w:rsidR="00E162ED" w:rsidRPr="00E162ED">
              <w:rPr>
                <w:rFonts w:ascii="標楷體" w:eastAsia="標楷體" w:hAnsi="標楷體"/>
                <w:sz w:val="28"/>
              </w:rPr>
              <w:t>@taichung.gov.tw</w:t>
            </w:r>
          </w:p>
        </w:tc>
      </w:tr>
    </w:tbl>
    <w:p w:rsidR="00AE66E1" w:rsidRPr="00AE66E1" w:rsidRDefault="00AE66E1" w:rsidP="00AE66E1">
      <w:pPr>
        <w:spacing w:line="360" w:lineRule="exact"/>
        <w:rPr>
          <w:rFonts w:ascii="標楷體" w:eastAsia="標楷體" w:hAnsi="標楷體"/>
          <w:sz w:val="28"/>
        </w:rPr>
      </w:pPr>
    </w:p>
    <w:sectPr w:rsidR="00AE66E1" w:rsidRPr="00AE66E1" w:rsidSect="00DA764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30" w:rsidRDefault="00B76430" w:rsidP="00D0219F">
      <w:r>
        <w:separator/>
      </w:r>
    </w:p>
  </w:endnote>
  <w:endnote w:type="continuationSeparator" w:id="0">
    <w:p w:rsidR="00B76430" w:rsidRDefault="00B76430" w:rsidP="00D0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55360"/>
      <w:docPartObj>
        <w:docPartGallery w:val="Page Numbers (Bottom of Page)"/>
        <w:docPartUnique/>
      </w:docPartObj>
    </w:sdtPr>
    <w:sdtEndPr/>
    <w:sdtContent>
      <w:p w:rsidR="003E4F40" w:rsidRDefault="003E4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11" w:rsidRPr="00A01911">
          <w:rPr>
            <w:noProof/>
            <w:lang w:val="zh-TW"/>
          </w:rPr>
          <w:t>2</w:t>
        </w:r>
        <w:r>
          <w:fldChar w:fldCharType="end"/>
        </w:r>
      </w:p>
    </w:sdtContent>
  </w:sdt>
  <w:p w:rsidR="003E4F40" w:rsidRDefault="003E4F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30" w:rsidRDefault="00B76430" w:rsidP="00D0219F">
      <w:r>
        <w:separator/>
      </w:r>
    </w:p>
  </w:footnote>
  <w:footnote w:type="continuationSeparator" w:id="0">
    <w:p w:rsidR="00B76430" w:rsidRDefault="00B76430" w:rsidP="00D0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B0E"/>
    <w:multiLevelType w:val="hybridMultilevel"/>
    <w:tmpl w:val="FF805552"/>
    <w:lvl w:ilvl="0" w:tplc="F4AAB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D04A8"/>
    <w:multiLevelType w:val="hybridMultilevel"/>
    <w:tmpl w:val="BACA7D08"/>
    <w:lvl w:ilvl="0" w:tplc="503C94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3E3569"/>
    <w:multiLevelType w:val="hybridMultilevel"/>
    <w:tmpl w:val="722A23A6"/>
    <w:lvl w:ilvl="0" w:tplc="1F8224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A83EB9"/>
    <w:multiLevelType w:val="hybridMultilevel"/>
    <w:tmpl w:val="18D40372"/>
    <w:lvl w:ilvl="0" w:tplc="1FF415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144EE"/>
    <w:multiLevelType w:val="hybridMultilevel"/>
    <w:tmpl w:val="78024086"/>
    <w:lvl w:ilvl="0" w:tplc="89806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3"/>
    <w:rsid w:val="000057C0"/>
    <w:rsid w:val="0001338C"/>
    <w:rsid w:val="000230DD"/>
    <w:rsid w:val="00073566"/>
    <w:rsid w:val="00124581"/>
    <w:rsid w:val="00177561"/>
    <w:rsid w:val="00246453"/>
    <w:rsid w:val="00250091"/>
    <w:rsid w:val="00266A2F"/>
    <w:rsid w:val="00292CDB"/>
    <w:rsid w:val="002D0423"/>
    <w:rsid w:val="00315348"/>
    <w:rsid w:val="00362A2C"/>
    <w:rsid w:val="003A4707"/>
    <w:rsid w:val="003C272C"/>
    <w:rsid w:val="003C5A9D"/>
    <w:rsid w:val="003E4F40"/>
    <w:rsid w:val="00411F77"/>
    <w:rsid w:val="0044356A"/>
    <w:rsid w:val="00487FD5"/>
    <w:rsid w:val="004D1719"/>
    <w:rsid w:val="004D1E47"/>
    <w:rsid w:val="005A2985"/>
    <w:rsid w:val="005B4483"/>
    <w:rsid w:val="00631D5A"/>
    <w:rsid w:val="006707B3"/>
    <w:rsid w:val="006F56C8"/>
    <w:rsid w:val="00704D2B"/>
    <w:rsid w:val="00707B0D"/>
    <w:rsid w:val="007646D1"/>
    <w:rsid w:val="007D0725"/>
    <w:rsid w:val="00805DEC"/>
    <w:rsid w:val="0084420B"/>
    <w:rsid w:val="00875BCD"/>
    <w:rsid w:val="0088565F"/>
    <w:rsid w:val="008E659D"/>
    <w:rsid w:val="008F1013"/>
    <w:rsid w:val="008F4EA0"/>
    <w:rsid w:val="0092040A"/>
    <w:rsid w:val="009561D8"/>
    <w:rsid w:val="00982896"/>
    <w:rsid w:val="009B0D92"/>
    <w:rsid w:val="009B2998"/>
    <w:rsid w:val="009B42D5"/>
    <w:rsid w:val="009D6CBA"/>
    <w:rsid w:val="00A01911"/>
    <w:rsid w:val="00A16E76"/>
    <w:rsid w:val="00A43007"/>
    <w:rsid w:val="00A522D3"/>
    <w:rsid w:val="00A52693"/>
    <w:rsid w:val="00A54096"/>
    <w:rsid w:val="00A71BD4"/>
    <w:rsid w:val="00A96ADD"/>
    <w:rsid w:val="00AE66E1"/>
    <w:rsid w:val="00B05E9B"/>
    <w:rsid w:val="00B76430"/>
    <w:rsid w:val="00BD2ADE"/>
    <w:rsid w:val="00BF684F"/>
    <w:rsid w:val="00C22D3C"/>
    <w:rsid w:val="00C97B23"/>
    <w:rsid w:val="00CD17CD"/>
    <w:rsid w:val="00D0219F"/>
    <w:rsid w:val="00D650C2"/>
    <w:rsid w:val="00D87CDC"/>
    <w:rsid w:val="00DA7643"/>
    <w:rsid w:val="00E162ED"/>
    <w:rsid w:val="00EB6388"/>
    <w:rsid w:val="00F41231"/>
    <w:rsid w:val="00F7323C"/>
    <w:rsid w:val="00F9002B"/>
    <w:rsid w:val="00FC1C6E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F4B30D-8019-42BD-8D39-AD94182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19F"/>
    <w:rPr>
      <w:sz w:val="20"/>
      <w:szCs w:val="20"/>
    </w:rPr>
  </w:style>
  <w:style w:type="paragraph" w:styleId="a8">
    <w:name w:val="List Paragraph"/>
    <w:basedOn w:val="a"/>
    <w:uiPriority w:val="34"/>
    <w:qFormat/>
    <w:rsid w:val="0012458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7858-3BBF-4872-A3D8-D9B4C5B5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王源龍</dc:creator>
  <cp:lastModifiedBy>林孟慧</cp:lastModifiedBy>
  <cp:revision>2</cp:revision>
  <cp:lastPrinted>2018-07-12T03:20:00Z</cp:lastPrinted>
  <dcterms:created xsi:type="dcterms:W3CDTF">2019-02-21T08:08:00Z</dcterms:created>
  <dcterms:modified xsi:type="dcterms:W3CDTF">2019-02-21T08:08:00Z</dcterms:modified>
</cp:coreProperties>
</file>