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7121"/>
        <w:gridCol w:w="2467"/>
      </w:tblGrid>
      <w:tr>
        <w:trPr>
          <w:trHeight w:val="679" w:hRule="exact"/>
        </w:trPr>
        <w:tc>
          <w:tcPr>
            <w:tcW w:w="5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5"/>
              <w:ind w:left="27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bookmarkStart w:name="2次以上" w:id="1"/>
            <w:bookmarkEnd w:id="1"/>
            <w:r>
              <w:rPr/>
            </w:r>
            <w:r>
              <w:rPr>
                <w:rFonts w:ascii="標楷體" w:hAnsi="標楷體" w:cs="標楷體" w:eastAsia="標楷體"/>
                <w:b/>
                <w:bCs/>
                <w:spacing w:val="2"/>
                <w:sz w:val="24"/>
                <w:szCs w:val="24"/>
              </w:rPr>
              <w:t>項次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71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5"/>
              <w:ind w:left="16" w:right="0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pacing w:val="2"/>
                <w:sz w:val="24"/>
                <w:szCs w:val="24"/>
              </w:rPr>
              <w:t>錯誤行為態樣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24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26"/>
              <w:ind w:left="14" w:right="0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pacing w:val="2"/>
                <w:sz w:val="24"/>
                <w:szCs w:val="24"/>
              </w:rPr>
              <w:t>備註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5018" w:hRule="exact"/>
        </w:trPr>
        <w:tc>
          <w:tcPr>
            <w:tcW w:w="5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/>
                <w:b/>
                <w:sz w:val="32"/>
              </w:rPr>
              <w:t>1</w:t>
            </w:r>
            <w:r>
              <w:rPr>
                <w:rFonts w:ascii="標楷體"/>
                <w:sz w:val="32"/>
              </w:rPr>
            </w:r>
          </w:p>
        </w:tc>
        <w:tc>
          <w:tcPr>
            <w:tcW w:w="71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17"/>
              <w:ind w:left="27" w:right="95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pacing w:val="2"/>
                <w:sz w:val="30"/>
                <w:szCs w:val="30"/>
              </w:rPr>
              <w:t>某一勞務委外採購案，其中一家投標廠商(下稱A廠 商)提出之企劃書內容，如公司實績、公司簡介、查 核表格等資料及說明，均含有另一家</w:t>
            </w:r>
            <w:r>
              <w:rPr>
                <w:rFonts w:ascii="標楷體" w:hAnsi="標楷體" w:cs="標楷體" w:eastAsia="標楷體"/>
                <w:b/>
                <w:bCs/>
                <w:sz w:val="30"/>
                <w:szCs w:val="30"/>
              </w:rPr>
            </w:r>
            <w:r>
              <w:rPr>
                <w:rFonts w:ascii="標楷體" w:hAnsi="標楷體" w:cs="標楷體" w:eastAsia="標楷體"/>
                <w:b/>
                <w:bCs/>
                <w:spacing w:val="2"/>
                <w:sz w:val="30"/>
                <w:szCs w:val="30"/>
                <w:u w:val="single" w:color="000000"/>
              </w:rPr>
              <w:t>未投標</w:t>
            </w:r>
            <w:r>
              <w:rPr>
                <w:rFonts w:ascii="標楷體" w:hAnsi="標楷體" w:cs="標楷體" w:eastAsia="標楷體"/>
                <w:b/>
                <w:bCs/>
                <w:sz w:val="30"/>
                <w:szCs w:val="30"/>
              </w:rPr>
            </w:r>
            <w:r>
              <w:rPr>
                <w:rFonts w:ascii="標楷體" w:hAnsi="標楷體" w:cs="標楷體" w:eastAsia="標楷體"/>
                <w:spacing w:val="2"/>
                <w:sz w:val="30"/>
                <w:szCs w:val="30"/>
              </w:rPr>
              <w:t>廠商(下</w:t>
            </w:r>
            <w:r>
              <w:rPr>
                <w:rFonts w:ascii="標楷體" w:hAnsi="標楷體" w:cs="標楷體" w:eastAsia="標楷體"/>
                <w:spacing w:val="28"/>
                <w:sz w:val="30"/>
                <w:szCs w:val="30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30"/>
                <w:szCs w:val="30"/>
              </w:rPr>
              <w:t>稱B廠商)之承攬實績、公司制度、作業流程等，惟工</w:t>
            </w:r>
            <w:r>
              <w:rPr>
                <w:rFonts w:ascii="標楷體" w:hAnsi="標楷體" w:cs="標楷體" w:eastAsia="標楷體"/>
                <w:spacing w:val="2"/>
                <w:sz w:val="30"/>
                <w:szCs w:val="30"/>
              </w:rPr>
              <w:t> 作小組於審查廠商企劃書時，未能發覺該企劃書「管 理制度與履約管理績效」等內容異常之處，即擬具初 審意見，逕送採購評選委員會供評選參考，承辦採購 單位亦未察覺A廠商所提企劃書之內容與上開評選項 目之規定有間，仍將其所含B廠商之資料納入評分； 查經扣除B廠商之實績或制度後，A廠商已由第1序位 變更為第3序位，非優勝廠商，</w:t>
            </w:r>
            <w:r>
              <w:rPr>
                <w:rFonts w:ascii="標楷體" w:hAnsi="標楷體" w:cs="標楷體" w:eastAsia="標楷體"/>
                <w:b/>
                <w:bCs/>
                <w:sz w:val="30"/>
                <w:szCs w:val="30"/>
              </w:rPr>
            </w:r>
            <w:r>
              <w:rPr>
                <w:rFonts w:ascii="標楷體" w:hAnsi="標楷體" w:cs="標楷體" w:eastAsia="標楷體"/>
                <w:b/>
                <w:bCs/>
                <w:spacing w:val="2"/>
                <w:sz w:val="30"/>
                <w:szCs w:val="30"/>
                <w:u w:val="single" w:color="000000"/>
              </w:rPr>
              <w:t>即已影響序位評比結</w:t>
            </w:r>
            <w:r>
              <w:rPr>
                <w:rFonts w:ascii="標楷體" w:hAnsi="標楷體" w:cs="標楷體" w:eastAsia="標楷體"/>
                <w:b/>
                <w:bCs/>
                <w:spacing w:val="4"/>
                <w:w w:val="99"/>
                <w:sz w:val="30"/>
                <w:szCs w:val="30"/>
              </w:rPr>
            </w:r>
            <w:r>
              <w:rPr>
                <w:rFonts w:ascii="標楷體" w:hAnsi="標楷體" w:cs="標楷體" w:eastAsia="標楷體"/>
                <w:b/>
                <w:bCs/>
                <w:spacing w:val="40"/>
                <w:w w:val="99"/>
                <w:sz w:val="30"/>
                <w:szCs w:val="30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pacing w:val="2"/>
                <w:sz w:val="30"/>
                <w:szCs w:val="30"/>
                <w:u w:val="single" w:color="000000"/>
              </w:rPr>
              <w:t>果</w:t>
            </w:r>
            <w:r>
              <w:rPr>
                <w:rFonts w:ascii="標楷體" w:hAnsi="標楷體" w:cs="標楷體" w:eastAsia="標楷體"/>
                <w:b/>
                <w:bCs/>
                <w:sz w:val="30"/>
                <w:szCs w:val="30"/>
              </w:rPr>
            </w:r>
            <w:r>
              <w:rPr>
                <w:rFonts w:ascii="標楷體" w:hAnsi="標楷體" w:cs="標楷體" w:eastAsia="標楷體"/>
                <w:spacing w:val="2"/>
                <w:sz w:val="30"/>
                <w:szCs w:val="30"/>
              </w:rPr>
              <w:t>，招標機關相關人員未善盡審查及監督責任。</w:t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</w:tc>
        <w:tc>
          <w:tcPr>
            <w:tcW w:w="2467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50"/>
                <w:szCs w:val="5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50"/>
                <w:szCs w:val="5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50"/>
                <w:szCs w:val="5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50"/>
                <w:szCs w:val="5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50"/>
                <w:szCs w:val="5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50"/>
                <w:szCs w:val="5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50"/>
                <w:szCs w:val="5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50"/>
                <w:szCs w:val="5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50"/>
                <w:szCs w:val="50"/>
              </w:rPr>
            </w:pPr>
          </w:p>
          <w:p>
            <w:pPr>
              <w:pStyle w:val="TableParagraph"/>
              <w:spacing w:line="648" w:lineRule="exact" w:before="330"/>
              <w:ind w:left="217" w:right="201" w:firstLine="252"/>
              <w:jc w:val="left"/>
              <w:rPr>
                <w:rFonts w:ascii="標楷體" w:hAnsi="標楷體" w:cs="標楷體" w:eastAsia="標楷體"/>
                <w:sz w:val="50"/>
                <w:szCs w:val="50"/>
              </w:rPr>
            </w:pPr>
            <w:r>
              <w:rPr>
                <w:rFonts w:ascii="標楷體" w:hAnsi="標楷體" w:cs="標楷體" w:eastAsia="標楷體"/>
                <w:b/>
                <w:bCs/>
                <w:spacing w:val="2"/>
                <w:sz w:val="50"/>
                <w:szCs w:val="50"/>
              </w:rPr>
              <w:t>審計部</w:t>
            </w:r>
            <w:r>
              <w:rPr>
                <w:rFonts w:ascii="標楷體" w:hAnsi="標楷體" w:cs="標楷體" w:eastAsia="標楷體"/>
                <w:b/>
                <w:bCs/>
                <w:spacing w:val="2"/>
                <w:w w:val="99"/>
                <w:sz w:val="50"/>
                <w:szCs w:val="50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pacing w:val="1"/>
                <w:w w:val="95"/>
                <w:sz w:val="50"/>
                <w:szCs w:val="50"/>
              </w:rPr>
              <w:t>查核個案</w:t>
            </w:r>
            <w:r>
              <w:rPr>
                <w:rFonts w:ascii="標楷體" w:hAnsi="標楷體" w:cs="標楷體" w:eastAsia="標楷體"/>
                <w:sz w:val="50"/>
                <w:szCs w:val="50"/>
              </w:rPr>
            </w:r>
          </w:p>
        </w:tc>
      </w:tr>
      <w:tr>
        <w:trPr>
          <w:trHeight w:val="566" w:hRule="exact"/>
        </w:trPr>
        <w:tc>
          <w:tcPr>
            <w:tcW w:w="56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211"/>
              <w:ind w:left="13" w:right="0"/>
              <w:jc w:val="center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/>
                <w:b/>
                <w:sz w:val="32"/>
              </w:rPr>
              <w:t>2</w:t>
            </w:r>
            <w:r>
              <w:rPr>
                <w:rFonts w:ascii="標楷體"/>
                <w:sz w:val="32"/>
              </w:rPr>
            </w:r>
          </w:p>
        </w:tc>
        <w:tc>
          <w:tcPr>
            <w:tcW w:w="7121" w:type="dxa"/>
            <w:tcBorders>
              <w:top w:val="single" w:sz="16" w:space="0" w:color="000000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07"/>
              <w:ind w:left="27" w:right="0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pacing w:val="2"/>
                <w:sz w:val="30"/>
                <w:szCs w:val="30"/>
              </w:rPr>
              <w:t>某一99年3月竣工之路面修復工程採購案，據工程結</w:t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</w:tc>
        <w:tc>
          <w:tcPr>
            <w:tcW w:w="2467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56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7121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346" w:lineRule="exact"/>
              <w:ind w:left="27" w:right="0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pacing w:val="2"/>
                <w:sz w:val="30"/>
                <w:szCs w:val="30"/>
              </w:rPr>
              <w:t>算書卷附之施工相片，圖說應計列2公分厚之碎石級</w:t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</w:tc>
        <w:tc>
          <w:tcPr>
            <w:tcW w:w="2467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56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7121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346" w:lineRule="exact"/>
              <w:ind w:left="27" w:right="0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pacing w:val="2"/>
                <w:sz w:val="30"/>
                <w:szCs w:val="30"/>
              </w:rPr>
              <w:t>配區域，未見碎石級配填補施作情形。經招標機關會</w:t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</w:tc>
        <w:tc>
          <w:tcPr>
            <w:tcW w:w="2467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56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7121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346" w:lineRule="exact"/>
              <w:ind w:left="27" w:right="0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pacing w:val="2"/>
                <w:sz w:val="30"/>
                <w:szCs w:val="30"/>
              </w:rPr>
              <w:t>同承包商及監造廠商三方於101年9月現場鑽心抽驗，</w:t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</w:tc>
        <w:tc>
          <w:tcPr>
            <w:tcW w:w="2467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88" w:hRule="exact"/>
        </w:trPr>
        <w:tc>
          <w:tcPr>
            <w:tcW w:w="56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7121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346" w:lineRule="exact"/>
              <w:ind w:left="27" w:right="0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pacing w:val="2"/>
                <w:sz w:val="30"/>
                <w:szCs w:val="30"/>
              </w:rPr>
              <w:t>據稱瀝青混凝土面層下雖有級配料粒填補，然路面經</w:t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</w:tc>
        <w:tc>
          <w:tcPr>
            <w:tcW w:w="2467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56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7121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348" w:lineRule="exact"/>
              <w:ind w:left="27" w:right="0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pacing w:val="2"/>
                <w:sz w:val="30"/>
                <w:szCs w:val="30"/>
              </w:rPr>
              <w:t>滾壓及2年通行使用後，尚難判別碎石級配施作厚度</w:t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</w:tc>
        <w:tc>
          <w:tcPr>
            <w:tcW w:w="2467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56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7121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339" w:lineRule="exact"/>
              <w:ind w:left="27" w:right="0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pacing w:val="3"/>
                <w:sz w:val="30"/>
                <w:szCs w:val="30"/>
              </w:rPr>
              <w:t>，</w:t>
            </w:r>
            <w:r>
              <w:rPr>
                <w:rFonts w:ascii="標楷體" w:hAnsi="標楷體" w:cs="標楷體" w:eastAsia="標楷體"/>
                <w:b/>
                <w:bCs/>
                <w:sz w:val="30"/>
                <w:szCs w:val="30"/>
              </w:rPr>
            </w:r>
            <w:r>
              <w:rPr>
                <w:rFonts w:ascii="標楷體" w:hAnsi="標楷體" w:cs="標楷體" w:eastAsia="標楷體"/>
                <w:b/>
                <w:bCs/>
                <w:spacing w:val="3"/>
                <w:sz w:val="30"/>
                <w:szCs w:val="30"/>
                <w:u w:val="single" w:color="000000"/>
              </w:rPr>
              <w:t>而監造廠商漏未將施工相片送主辦機關，致工程採</w:t>
            </w:r>
            <w:r>
              <w:rPr>
                <w:rFonts w:ascii="標楷體" w:hAnsi="標楷體" w:cs="標楷體" w:eastAsia="標楷體"/>
                <w:b/>
                <w:bCs/>
                <w:spacing w:val="4"/>
                <w:w w:val="99"/>
                <w:sz w:val="30"/>
                <w:szCs w:val="30"/>
              </w:rPr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</w:tc>
        <w:tc>
          <w:tcPr>
            <w:tcW w:w="2467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56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7121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346" w:lineRule="exact"/>
              <w:ind w:left="27" w:right="0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b/>
                <w:bCs/>
                <w:w w:val="99"/>
                <w:sz w:val="30"/>
                <w:szCs w:val="30"/>
              </w:rPr>
            </w:r>
            <w:r>
              <w:rPr>
                <w:rFonts w:ascii="標楷體" w:hAnsi="標楷體" w:cs="標楷體" w:eastAsia="標楷體"/>
                <w:b/>
                <w:bCs/>
                <w:spacing w:val="4"/>
                <w:sz w:val="30"/>
                <w:szCs w:val="30"/>
                <w:u w:val="single" w:color="000000"/>
              </w:rPr>
              <w:t>購履約文件未保存有關施作相片或檔案資料，招標機</w:t>
            </w:r>
            <w:r>
              <w:rPr>
                <w:rFonts w:ascii="標楷體" w:hAnsi="標楷體" w:cs="標楷體" w:eastAsia="標楷體"/>
                <w:b/>
                <w:bCs/>
                <w:spacing w:val="4"/>
                <w:w w:val="99"/>
                <w:sz w:val="30"/>
                <w:szCs w:val="30"/>
              </w:rPr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</w:tc>
        <w:tc>
          <w:tcPr>
            <w:tcW w:w="2467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56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7121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346" w:lineRule="exact"/>
              <w:ind w:left="27" w:right="0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b/>
                <w:bCs/>
                <w:w w:val="99"/>
                <w:sz w:val="30"/>
                <w:szCs w:val="30"/>
              </w:rPr>
            </w:r>
            <w:r>
              <w:rPr>
                <w:rFonts w:ascii="標楷體" w:hAnsi="標楷體" w:cs="標楷體" w:eastAsia="標楷體"/>
                <w:b/>
                <w:bCs/>
                <w:spacing w:val="4"/>
                <w:sz w:val="30"/>
                <w:szCs w:val="30"/>
                <w:u w:val="single" w:color="000000"/>
              </w:rPr>
              <w:t>關亦未依前揭公共工程施工品質管理作業要點規定，</w:t>
            </w:r>
            <w:r>
              <w:rPr>
                <w:rFonts w:ascii="標楷體" w:hAnsi="標楷體" w:cs="標楷體" w:eastAsia="標楷體"/>
                <w:b/>
                <w:bCs/>
                <w:spacing w:val="4"/>
                <w:w w:val="99"/>
                <w:sz w:val="30"/>
                <w:szCs w:val="30"/>
              </w:rPr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</w:tc>
        <w:tc>
          <w:tcPr>
            <w:tcW w:w="2467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56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7121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346" w:lineRule="exact"/>
              <w:ind w:left="27" w:right="0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b/>
                <w:bCs/>
                <w:w w:val="99"/>
                <w:sz w:val="30"/>
                <w:szCs w:val="30"/>
              </w:rPr>
            </w:r>
            <w:r>
              <w:rPr>
                <w:rFonts w:ascii="標楷體" w:hAnsi="標楷體" w:cs="標楷體" w:eastAsia="標楷體"/>
                <w:b/>
                <w:bCs/>
                <w:spacing w:val="4"/>
                <w:sz w:val="30"/>
                <w:szCs w:val="30"/>
                <w:u w:val="single" w:color="000000"/>
              </w:rPr>
              <w:t>隨時督導工程施工情形，並留存紀錄備查，相關人員</w:t>
            </w:r>
            <w:r>
              <w:rPr>
                <w:rFonts w:ascii="標楷體" w:hAnsi="標楷體" w:cs="標楷體" w:eastAsia="標楷體"/>
                <w:b/>
                <w:bCs/>
                <w:spacing w:val="4"/>
                <w:w w:val="99"/>
                <w:sz w:val="30"/>
                <w:szCs w:val="30"/>
              </w:rPr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</w:tc>
        <w:tc>
          <w:tcPr>
            <w:tcW w:w="2467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56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7121" w:type="dxa"/>
            <w:tcBorders>
              <w:top w:val="nil" w:sz="6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346" w:lineRule="exact"/>
              <w:ind w:left="27" w:right="0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b/>
                <w:bCs/>
                <w:w w:val="99"/>
                <w:sz w:val="30"/>
                <w:szCs w:val="30"/>
              </w:rPr>
            </w:r>
            <w:r>
              <w:rPr>
                <w:rFonts w:ascii="標楷體" w:hAnsi="標楷體" w:cs="標楷體" w:eastAsia="標楷體"/>
                <w:b/>
                <w:bCs/>
                <w:spacing w:val="3"/>
                <w:sz w:val="30"/>
                <w:szCs w:val="30"/>
                <w:u w:val="single" w:color="000000"/>
              </w:rPr>
              <w:t>涉有違失</w:t>
            </w:r>
            <w:r>
              <w:rPr>
                <w:rFonts w:ascii="標楷體" w:hAnsi="標楷體" w:cs="標楷體" w:eastAsia="標楷體"/>
                <w:b/>
                <w:bCs/>
                <w:sz w:val="30"/>
                <w:szCs w:val="30"/>
              </w:rPr>
            </w:r>
            <w:r>
              <w:rPr>
                <w:rFonts w:ascii="標楷體" w:hAnsi="標楷體" w:cs="標楷體" w:eastAsia="標楷體"/>
                <w:spacing w:val="3"/>
                <w:sz w:val="30"/>
                <w:szCs w:val="30"/>
              </w:rPr>
              <w:t>。</w:t>
            </w:r>
          </w:p>
        </w:tc>
        <w:tc>
          <w:tcPr>
            <w:tcW w:w="2467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31" w:hRule="exact"/>
        </w:trPr>
        <w:tc>
          <w:tcPr>
            <w:tcW w:w="56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/>
                <w:b/>
                <w:sz w:val="32"/>
              </w:rPr>
              <w:t>3</w:t>
            </w:r>
            <w:r>
              <w:rPr>
                <w:rFonts w:ascii="標楷體"/>
                <w:sz w:val="32"/>
              </w:rPr>
            </w:r>
          </w:p>
        </w:tc>
        <w:tc>
          <w:tcPr>
            <w:tcW w:w="7121" w:type="dxa"/>
            <w:tcBorders>
              <w:top w:val="single" w:sz="16" w:space="0" w:color="000000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72"/>
              <w:ind w:left="27" w:right="0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pacing w:val="2"/>
                <w:sz w:val="30"/>
                <w:szCs w:val="30"/>
              </w:rPr>
              <w:t>有一機關辦理鐵構或鋼管桿防墜裝置裝設採購等11件</w:t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</w:tc>
        <w:tc>
          <w:tcPr>
            <w:tcW w:w="2467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56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7121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346" w:lineRule="exact"/>
              <w:ind w:left="27" w:right="0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pacing w:val="3"/>
                <w:sz w:val="30"/>
                <w:szCs w:val="30"/>
              </w:rPr>
              <w:t>採購案，</w:t>
            </w:r>
            <w:r>
              <w:rPr>
                <w:rFonts w:ascii="標楷體" w:hAnsi="標楷體" w:cs="標楷體" w:eastAsia="標楷體"/>
                <w:b/>
                <w:bCs/>
                <w:sz w:val="30"/>
                <w:szCs w:val="30"/>
              </w:rPr>
            </w:r>
            <w:r>
              <w:rPr>
                <w:rFonts w:ascii="標楷體" w:hAnsi="標楷體" w:cs="標楷體" w:eastAsia="標楷體"/>
                <w:b/>
                <w:bCs/>
                <w:spacing w:val="3"/>
                <w:sz w:val="30"/>
                <w:szCs w:val="30"/>
                <w:u w:val="single" w:color="000000"/>
              </w:rPr>
              <w:t>履約過程期間有得標廠商工地負責人或代理</w:t>
            </w:r>
            <w:r>
              <w:rPr>
                <w:rFonts w:ascii="標楷體" w:hAnsi="標楷體" w:cs="標楷體" w:eastAsia="標楷體"/>
                <w:b/>
                <w:bCs/>
                <w:spacing w:val="4"/>
                <w:w w:val="99"/>
                <w:sz w:val="30"/>
                <w:szCs w:val="30"/>
              </w:rPr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</w:tc>
        <w:tc>
          <w:tcPr>
            <w:tcW w:w="2467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782" w:hRule="exact"/>
        </w:trPr>
        <w:tc>
          <w:tcPr>
            <w:tcW w:w="56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7121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345" w:lineRule="exact"/>
              <w:ind w:left="27" w:right="0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b/>
                <w:bCs/>
                <w:w w:val="99"/>
                <w:sz w:val="30"/>
                <w:szCs w:val="30"/>
              </w:rPr>
            </w:r>
            <w:r>
              <w:rPr>
                <w:rFonts w:ascii="標楷體" w:hAnsi="標楷體" w:cs="標楷體" w:eastAsia="標楷體"/>
                <w:b/>
                <w:bCs/>
                <w:spacing w:val="4"/>
                <w:sz w:val="30"/>
                <w:szCs w:val="30"/>
                <w:u w:val="single" w:color="000000"/>
              </w:rPr>
              <w:t>工地負責人未經主辦單位核准，即赴施工現場值勤，</w:t>
            </w:r>
            <w:r>
              <w:rPr>
                <w:rFonts w:ascii="標楷體" w:hAnsi="標楷體" w:cs="標楷體" w:eastAsia="標楷體"/>
                <w:b/>
                <w:bCs/>
                <w:spacing w:val="4"/>
                <w:w w:val="99"/>
                <w:sz w:val="30"/>
                <w:szCs w:val="30"/>
              </w:rPr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  <w:p>
            <w:pPr>
              <w:pStyle w:val="TableParagraph"/>
              <w:spacing w:line="392" w:lineRule="exact"/>
              <w:ind w:left="27" w:right="0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b/>
                <w:bCs/>
                <w:w w:val="99"/>
                <w:sz w:val="30"/>
                <w:szCs w:val="30"/>
              </w:rPr>
            </w:r>
            <w:r>
              <w:rPr>
                <w:rFonts w:ascii="標楷體" w:hAnsi="標楷體" w:cs="標楷體" w:eastAsia="標楷體"/>
                <w:b/>
                <w:bCs/>
                <w:spacing w:val="4"/>
                <w:sz w:val="30"/>
                <w:szCs w:val="30"/>
                <w:u w:val="single" w:color="000000"/>
              </w:rPr>
              <w:t>招標機關工程檢驗員執行工程檢驗時，未落實工安抽</w:t>
            </w:r>
            <w:r>
              <w:rPr>
                <w:rFonts w:ascii="標楷體" w:hAnsi="標楷體" w:cs="標楷體" w:eastAsia="標楷體"/>
                <w:b/>
                <w:bCs/>
                <w:spacing w:val="4"/>
                <w:w w:val="99"/>
                <w:sz w:val="30"/>
                <w:szCs w:val="30"/>
              </w:rPr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</w:tc>
        <w:tc>
          <w:tcPr>
            <w:tcW w:w="2467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56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7121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346" w:lineRule="exact"/>
              <w:ind w:left="27" w:right="0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b/>
                <w:bCs/>
                <w:w w:val="99"/>
                <w:sz w:val="30"/>
                <w:szCs w:val="30"/>
              </w:rPr>
            </w:r>
            <w:r>
              <w:rPr>
                <w:rFonts w:ascii="標楷體" w:hAnsi="標楷體" w:cs="標楷體" w:eastAsia="標楷體"/>
                <w:b/>
                <w:bCs/>
                <w:spacing w:val="4"/>
                <w:sz w:val="30"/>
                <w:szCs w:val="30"/>
                <w:u w:val="single" w:color="000000"/>
              </w:rPr>
              <w:t>查，及未妥善保存施工日誌、工地負責人與工安管理</w:t>
            </w:r>
            <w:r>
              <w:rPr>
                <w:rFonts w:ascii="標楷體" w:hAnsi="標楷體" w:cs="標楷體" w:eastAsia="標楷體"/>
                <w:b/>
                <w:bCs/>
                <w:spacing w:val="4"/>
                <w:w w:val="99"/>
                <w:sz w:val="30"/>
                <w:szCs w:val="30"/>
              </w:rPr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</w:tc>
        <w:tc>
          <w:tcPr>
            <w:tcW w:w="2467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83" w:hRule="exact"/>
        </w:trPr>
        <w:tc>
          <w:tcPr>
            <w:tcW w:w="56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7121" w:type="dxa"/>
            <w:tcBorders>
              <w:top w:val="nil" w:sz="6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346" w:lineRule="exact"/>
              <w:ind w:left="27" w:right="0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b/>
                <w:bCs/>
                <w:w w:val="99"/>
                <w:sz w:val="30"/>
                <w:szCs w:val="30"/>
              </w:rPr>
            </w:r>
            <w:r>
              <w:rPr>
                <w:rFonts w:ascii="標楷體" w:hAnsi="標楷體" w:cs="標楷體" w:eastAsia="標楷體"/>
                <w:b/>
                <w:bCs/>
                <w:spacing w:val="3"/>
                <w:sz w:val="30"/>
                <w:szCs w:val="30"/>
                <w:u w:val="single" w:color="000000"/>
              </w:rPr>
              <w:t>員簽到簿等情事，相關人員核有疏失</w:t>
            </w:r>
            <w:r>
              <w:rPr>
                <w:rFonts w:ascii="標楷體" w:hAnsi="標楷體" w:cs="標楷體" w:eastAsia="標楷體"/>
                <w:b/>
                <w:bCs/>
                <w:sz w:val="30"/>
                <w:szCs w:val="30"/>
              </w:rPr>
            </w:r>
            <w:r>
              <w:rPr>
                <w:rFonts w:ascii="標楷體" w:hAnsi="標楷體" w:cs="標楷體" w:eastAsia="標楷體"/>
                <w:spacing w:val="3"/>
                <w:sz w:val="30"/>
                <w:szCs w:val="30"/>
              </w:rPr>
              <w:t>。</w:t>
            </w:r>
          </w:p>
        </w:tc>
        <w:tc>
          <w:tcPr>
            <w:tcW w:w="2467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815" w:footer="819" w:top="1720" w:bottom="1000" w:left="760" w:right="78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7121"/>
        <w:gridCol w:w="1128"/>
        <w:gridCol w:w="1339"/>
      </w:tblGrid>
      <w:tr>
        <w:trPr>
          <w:trHeight w:val="850" w:hRule="exact"/>
        </w:trPr>
        <w:tc>
          <w:tcPr>
            <w:tcW w:w="5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pacing w:val="2"/>
                <w:sz w:val="24"/>
                <w:szCs w:val="24"/>
              </w:rPr>
              <w:t>項次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71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pacing w:val="2"/>
                <w:sz w:val="24"/>
                <w:szCs w:val="24"/>
              </w:rPr>
              <w:t>錯誤行為態樣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11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>
            <w:pPr>
              <w:pStyle w:val="TableParagraph"/>
              <w:spacing w:line="312" w:lineRule="exact" w:before="92"/>
              <w:ind w:left="66" w:right="49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pacing w:val="1"/>
                <w:w w:val="95"/>
                <w:sz w:val="24"/>
                <w:szCs w:val="24"/>
              </w:rPr>
              <w:t>採購缺失</w:t>
            </w:r>
            <w:r>
              <w:rPr>
                <w:rFonts w:ascii="標楷體" w:hAnsi="標楷體" w:cs="標楷體" w:eastAsia="標楷體"/>
                <w:b/>
                <w:bCs/>
                <w:spacing w:val="2"/>
                <w:w w:val="9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pacing w:val="1"/>
                <w:w w:val="95"/>
                <w:sz w:val="24"/>
                <w:szCs w:val="24"/>
              </w:rPr>
              <w:t>個案件數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13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pacing w:val="2"/>
                <w:sz w:val="24"/>
                <w:szCs w:val="24"/>
              </w:rPr>
              <w:t>備註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950" w:hRule="exact"/>
        </w:trPr>
        <w:tc>
          <w:tcPr>
            <w:tcW w:w="5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222"/>
              <w:ind w:left="13" w:right="0"/>
              <w:jc w:val="center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/>
                <w:b/>
                <w:sz w:val="32"/>
              </w:rPr>
              <w:t>4</w:t>
            </w:r>
            <w:r>
              <w:rPr>
                <w:rFonts w:ascii="標楷體"/>
                <w:sz w:val="32"/>
              </w:rPr>
            </w:r>
          </w:p>
        </w:tc>
        <w:tc>
          <w:tcPr>
            <w:tcW w:w="71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40"/>
              <w:ind w:left="27" w:right="95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pacing w:val="2"/>
                <w:sz w:val="30"/>
                <w:szCs w:val="30"/>
              </w:rPr>
              <w:t>招標文件中之資料錯誤，例如：數量或數據有誤；前 後矛盾；引用過時或失效之資料。</w:t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</w:tc>
        <w:tc>
          <w:tcPr>
            <w:tcW w:w="11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70"/>
              <w:ind w:left="306" w:right="0"/>
              <w:jc w:val="left"/>
              <w:rPr>
                <w:rFonts w:ascii="新細明體" w:hAnsi="新細明體" w:cs="新細明體" w:eastAsia="新細明體"/>
                <w:sz w:val="52"/>
                <w:szCs w:val="52"/>
              </w:rPr>
            </w:pPr>
            <w:r>
              <w:rPr>
                <w:rFonts w:ascii="新細明體"/>
                <w:b/>
                <w:sz w:val="52"/>
              </w:rPr>
              <w:t>62</w:t>
            </w:r>
            <w:r>
              <w:rPr>
                <w:rFonts w:ascii="新細明體"/>
                <w:sz w:val="52"/>
              </w:rPr>
            </w:r>
          </w:p>
        </w:tc>
        <w:tc>
          <w:tcPr>
            <w:tcW w:w="1339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59"/>
                <w:szCs w:val="59"/>
              </w:rPr>
            </w:pPr>
          </w:p>
          <w:p>
            <w:pPr>
              <w:pStyle w:val="TableParagraph"/>
              <w:spacing w:line="520" w:lineRule="exact"/>
              <w:ind w:left="49" w:right="30" w:firstLine="2"/>
              <w:jc w:val="center"/>
              <w:rPr>
                <w:rFonts w:ascii="標楷體" w:hAnsi="標楷體" w:cs="標楷體" w:eastAsia="標楷體"/>
                <w:sz w:val="40"/>
                <w:szCs w:val="40"/>
              </w:rPr>
            </w:pPr>
            <w:r>
              <w:rPr>
                <w:rFonts w:ascii="標楷體" w:hAnsi="標楷體" w:cs="標楷體" w:eastAsia="標楷體"/>
                <w:b/>
                <w:bCs/>
                <w:spacing w:val="4"/>
                <w:sz w:val="40"/>
                <w:szCs w:val="40"/>
              </w:rPr>
              <w:t>稽核 監督 各機關 採購 所見 缺失</w:t>
            </w:r>
            <w:r>
              <w:rPr>
                <w:rFonts w:ascii="標楷體" w:hAnsi="標楷體" w:cs="標楷體" w:eastAsia="標楷體"/>
                <w:sz w:val="40"/>
                <w:szCs w:val="40"/>
              </w:rPr>
            </w:r>
          </w:p>
        </w:tc>
      </w:tr>
      <w:tr>
        <w:trPr>
          <w:trHeight w:val="737" w:hRule="exact"/>
        </w:trPr>
        <w:tc>
          <w:tcPr>
            <w:tcW w:w="5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14"/>
              <w:ind w:left="13" w:right="0"/>
              <w:jc w:val="center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/>
                <w:b/>
                <w:sz w:val="32"/>
              </w:rPr>
              <w:t>5</w:t>
            </w:r>
            <w:r>
              <w:rPr>
                <w:rFonts w:ascii="標楷體"/>
                <w:sz w:val="32"/>
              </w:rPr>
            </w:r>
          </w:p>
        </w:tc>
        <w:tc>
          <w:tcPr>
            <w:tcW w:w="71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29"/>
              <w:ind w:left="27" w:right="0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pacing w:val="2"/>
                <w:sz w:val="30"/>
                <w:szCs w:val="30"/>
              </w:rPr>
              <w:t>違反法規規定，例如：對於機關之決定不得異議。</w:t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</w:tc>
        <w:tc>
          <w:tcPr>
            <w:tcW w:w="11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643" w:lineRule="exact"/>
              <w:ind w:left="306" w:right="0"/>
              <w:jc w:val="left"/>
              <w:rPr>
                <w:rFonts w:ascii="新細明體" w:hAnsi="新細明體" w:cs="新細明體" w:eastAsia="新細明體"/>
                <w:sz w:val="52"/>
                <w:szCs w:val="52"/>
              </w:rPr>
            </w:pPr>
            <w:r>
              <w:rPr>
                <w:rFonts w:ascii="新細明體"/>
                <w:b/>
                <w:sz w:val="52"/>
              </w:rPr>
              <w:t>18</w:t>
            </w:r>
            <w:r>
              <w:rPr>
                <w:rFonts w:ascii="新細明體"/>
                <w:sz w:val="52"/>
              </w:rPr>
            </w:r>
          </w:p>
        </w:tc>
        <w:tc>
          <w:tcPr>
            <w:tcW w:w="133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289" w:hRule="exact"/>
        </w:trPr>
        <w:tc>
          <w:tcPr>
            <w:tcW w:w="5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/>
                <w:b/>
                <w:sz w:val="32"/>
              </w:rPr>
              <w:t>6</w:t>
            </w:r>
            <w:r>
              <w:rPr>
                <w:rFonts w:ascii="標楷體"/>
                <w:sz w:val="32"/>
              </w:rPr>
            </w:r>
          </w:p>
        </w:tc>
        <w:tc>
          <w:tcPr>
            <w:tcW w:w="71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27" w:right="95"/>
              <w:jc w:val="both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pacing w:val="2"/>
                <w:sz w:val="30"/>
                <w:szCs w:val="30"/>
              </w:rPr>
              <w:t>不當增列法規所無之規定，例如：規定標封封口蓋騎 縫章，否則為無效標；規定投標文件逐頁蓋章，否則 為無效標。</w:t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</w:tc>
        <w:tc>
          <w:tcPr>
            <w:tcW w:w="11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238"/>
              <w:ind w:left="306" w:right="0"/>
              <w:jc w:val="left"/>
              <w:rPr>
                <w:rFonts w:ascii="新細明體" w:hAnsi="新細明體" w:cs="新細明體" w:eastAsia="新細明體"/>
                <w:sz w:val="52"/>
                <w:szCs w:val="52"/>
              </w:rPr>
            </w:pPr>
            <w:r>
              <w:rPr>
                <w:rFonts w:ascii="新細明體"/>
                <w:b/>
                <w:sz w:val="52"/>
              </w:rPr>
              <w:t>10</w:t>
            </w:r>
            <w:r>
              <w:rPr>
                <w:rFonts w:ascii="新細明體"/>
                <w:sz w:val="52"/>
              </w:rPr>
            </w:r>
          </w:p>
        </w:tc>
        <w:tc>
          <w:tcPr>
            <w:tcW w:w="133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850" w:hRule="exact"/>
        </w:trPr>
        <w:tc>
          <w:tcPr>
            <w:tcW w:w="5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72"/>
              <w:ind w:left="13" w:right="0"/>
              <w:jc w:val="center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/>
                <w:b/>
                <w:sz w:val="32"/>
              </w:rPr>
              <w:t>7</w:t>
            </w:r>
            <w:r>
              <w:rPr>
                <w:rFonts w:ascii="標楷體"/>
                <w:sz w:val="32"/>
              </w:rPr>
            </w:r>
          </w:p>
        </w:tc>
        <w:tc>
          <w:tcPr>
            <w:tcW w:w="71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392" w:lineRule="exact" w:before="9"/>
              <w:ind w:left="27" w:right="95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pacing w:val="2"/>
                <w:sz w:val="30"/>
                <w:szCs w:val="30"/>
              </w:rPr>
              <w:t>公告內容與招標文件之內容不一致，例如：截止投標 期限不一致。</w:t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</w:tc>
        <w:tc>
          <w:tcPr>
            <w:tcW w:w="11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4"/>
              <w:ind w:left="13" w:right="0"/>
              <w:jc w:val="center"/>
              <w:rPr>
                <w:rFonts w:ascii="新細明體" w:hAnsi="新細明體" w:cs="新細明體" w:eastAsia="新細明體"/>
                <w:sz w:val="50"/>
                <w:szCs w:val="50"/>
              </w:rPr>
            </w:pPr>
            <w:r>
              <w:rPr>
                <w:rFonts w:ascii="新細明體"/>
                <w:b/>
                <w:sz w:val="50"/>
              </w:rPr>
              <w:t>9</w:t>
            </w:r>
            <w:r>
              <w:rPr>
                <w:rFonts w:ascii="新細明體"/>
                <w:sz w:val="50"/>
              </w:rPr>
            </w:r>
          </w:p>
        </w:tc>
        <w:tc>
          <w:tcPr>
            <w:tcW w:w="133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673" w:hRule="exact"/>
        </w:trPr>
        <w:tc>
          <w:tcPr>
            <w:tcW w:w="5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214"/>
              <w:ind w:left="13" w:right="0"/>
              <w:jc w:val="center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/>
                <w:b/>
                <w:sz w:val="32"/>
              </w:rPr>
              <w:t>8</w:t>
            </w:r>
            <w:r>
              <w:rPr>
                <w:rFonts w:ascii="標楷體"/>
                <w:sz w:val="32"/>
              </w:rPr>
            </w:r>
          </w:p>
        </w:tc>
        <w:tc>
          <w:tcPr>
            <w:tcW w:w="71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392" w:lineRule="exact" w:before="9"/>
              <w:ind w:left="27" w:right="0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pacing w:val="2"/>
                <w:sz w:val="30"/>
                <w:szCs w:val="30"/>
              </w:rPr>
              <w:t>同一評選項目，不同委員之評選結果有明顯之差異時</w:t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  <w:p>
            <w:pPr>
              <w:pStyle w:val="TableParagraph"/>
              <w:spacing w:line="391" w:lineRule="exact"/>
              <w:ind w:left="27" w:right="0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pacing w:val="2"/>
                <w:sz w:val="30"/>
                <w:szCs w:val="30"/>
              </w:rPr>
              <w:t>，召集人未提交委員會議決或依委員會決議辦理複評</w:t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  <w:p>
            <w:pPr>
              <w:pStyle w:val="TableParagraph"/>
              <w:spacing w:line="240" w:lineRule="auto"/>
              <w:ind w:left="27" w:right="95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pacing w:val="2"/>
                <w:sz w:val="30"/>
                <w:szCs w:val="30"/>
              </w:rPr>
              <w:t>，逕採去頭（不計最高分）或去尾（不計最低分）之 計分方式辦理。</w:t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</w:tc>
        <w:tc>
          <w:tcPr>
            <w:tcW w:w="11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445"/>
              <w:ind w:left="13" w:right="0"/>
              <w:jc w:val="center"/>
              <w:rPr>
                <w:rFonts w:ascii="新細明體" w:hAnsi="新細明體" w:cs="新細明體" w:eastAsia="新細明體"/>
                <w:sz w:val="50"/>
                <w:szCs w:val="50"/>
              </w:rPr>
            </w:pPr>
            <w:r>
              <w:rPr>
                <w:rFonts w:ascii="新細明體"/>
                <w:b/>
                <w:sz w:val="50"/>
              </w:rPr>
              <w:t>7</w:t>
            </w:r>
            <w:r>
              <w:rPr>
                <w:rFonts w:ascii="新細明體"/>
                <w:sz w:val="50"/>
              </w:rPr>
            </w:r>
          </w:p>
        </w:tc>
        <w:tc>
          <w:tcPr>
            <w:tcW w:w="133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133" w:hRule="exact"/>
        </w:trPr>
        <w:tc>
          <w:tcPr>
            <w:tcW w:w="5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/>
                <w:b/>
                <w:sz w:val="32"/>
              </w:rPr>
              <w:t>9</w:t>
            </w:r>
            <w:r>
              <w:rPr>
                <w:rFonts w:ascii="標楷體"/>
                <w:sz w:val="32"/>
              </w:rPr>
            </w:r>
          </w:p>
        </w:tc>
        <w:tc>
          <w:tcPr>
            <w:tcW w:w="71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31"/>
              <w:ind w:left="27" w:right="95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pacing w:val="2"/>
                <w:sz w:val="30"/>
                <w:szCs w:val="30"/>
              </w:rPr>
              <w:t>招標文件過簡，例如：未載明終止或解除契約條件、 查驗或驗收條件；未載明依政府採購法令辦理</w:t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</w:tc>
        <w:tc>
          <w:tcPr>
            <w:tcW w:w="11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76"/>
              <w:ind w:left="13" w:right="0"/>
              <w:jc w:val="center"/>
              <w:rPr>
                <w:rFonts w:ascii="新細明體" w:hAnsi="新細明體" w:cs="新細明體" w:eastAsia="新細明體"/>
                <w:sz w:val="50"/>
                <w:szCs w:val="50"/>
              </w:rPr>
            </w:pPr>
            <w:r>
              <w:rPr>
                <w:rFonts w:ascii="新細明體"/>
                <w:b/>
                <w:sz w:val="50"/>
              </w:rPr>
              <w:t>6</w:t>
            </w:r>
            <w:r>
              <w:rPr>
                <w:rFonts w:ascii="新細明體"/>
                <w:sz w:val="50"/>
              </w:rPr>
            </w:r>
          </w:p>
        </w:tc>
        <w:tc>
          <w:tcPr>
            <w:tcW w:w="133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318" w:hRule="exact"/>
        </w:trPr>
        <w:tc>
          <w:tcPr>
            <w:tcW w:w="5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/>
                <w:b/>
                <w:sz w:val="32"/>
              </w:rPr>
              <w:t>10</w:t>
            </w:r>
            <w:r>
              <w:rPr>
                <w:rFonts w:ascii="標楷體"/>
                <w:sz w:val="32"/>
              </w:rPr>
            </w:r>
          </w:p>
        </w:tc>
        <w:tc>
          <w:tcPr>
            <w:tcW w:w="71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28"/>
              <w:ind w:left="27" w:right="95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pacing w:val="2"/>
                <w:sz w:val="30"/>
                <w:szCs w:val="30"/>
              </w:rPr>
              <w:t>公告內容未完全符合政府採購公告及公報發行辦法之 規定，例如：漏填、錯填、未詳實填寫(以「詳招標 文件」一語帶過)。</w:t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</w:tc>
        <w:tc>
          <w:tcPr>
            <w:tcW w:w="11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267"/>
              <w:ind w:left="13" w:right="0"/>
              <w:jc w:val="center"/>
              <w:rPr>
                <w:rFonts w:ascii="新細明體" w:hAnsi="新細明體" w:cs="新細明體" w:eastAsia="新細明體"/>
                <w:sz w:val="50"/>
                <w:szCs w:val="50"/>
              </w:rPr>
            </w:pPr>
            <w:r>
              <w:rPr>
                <w:rFonts w:ascii="新細明體"/>
                <w:b/>
                <w:sz w:val="50"/>
              </w:rPr>
              <w:t>6</w:t>
            </w:r>
            <w:r>
              <w:rPr>
                <w:rFonts w:ascii="新細明體"/>
                <w:sz w:val="50"/>
              </w:rPr>
            </w:r>
          </w:p>
        </w:tc>
        <w:tc>
          <w:tcPr>
            <w:tcW w:w="133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375" w:hRule="exact"/>
        </w:trPr>
        <w:tc>
          <w:tcPr>
            <w:tcW w:w="5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/>
                <w:b/>
                <w:sz w:val="32"/>
              </w:rPr>
              <w:t>11</w:t>
            </w:r>
            <w:r>
              <w:rPr>
                <w:rFonts w:ascii="標楷體"/>
                <w:sz w:val="32"/>
              </w:rPr>
            </w:r>
          </w:p>
        </w:tc>
        <w:tc>
          <w:tcPr>
            <w:tcW w:w="71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57"/>
              <w:ind w:left="27" w:right="95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pacing w:val="2"/>
                <w:sz w:val="30"/>
                <w:szCs w:val="30"/>
              </w:rPr>
              <w:t>未確實辦理履約管理，例如：廠商使用非法運輸工 具；使用非法外勞；未落實勞工安全；亂倒廢棄物； 不宜雨天施工者未予制止。</w:t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</w:tc>
        <w:tc>
          <w:tcPr>
            <w:tcW w:w="11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296"/>
              <w:ind w:left="13" w:right="0"/>
              <w:jc w:val="center"/>
              <w:rPr>
                <w:rFonts w:ascii="新細明體" w:hAnsi="新細明體" w:cs="新細明體" w:eastAsia="新細明體"/>
                <w:sz w:val="50"/>
                <w:szCs w:val="50"/>
              </w:rPr>
            </w:pPr>
            <w:r>
              <w:rPr>
                <w:rFonts w:ascii="新細明體"/>
                <w:b/>
                <w:sz w:val="50"/>
              </w:rPr>
              <w:t>6</w:t>
            </w:r>
            <w:r>
              <w:rPr>
                <w:rFonts w:ascii="新細明體"/>
                <w:sz w:val="50"/>
              </w:rPr>
            </w:r>
          </w:p>
        </w:tc>
        <w:tc>
          <w:tcPr>
            <w:tcW w:w="133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907" w:hRule="exact"/>
        </w:trPr>
        <w:tc>
          <w:tcPr>
            <w:tcW w:w="5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200"/>
              <w:ind w:left="106" w:right="0"/>
              <w:jc w:val="left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/>
                <w:b/>
                <w:sz w:val="32"/>
              </w:rPr>
              <w:t>12</w:t>
            </w:r>
            <w:r>
              <w:rPr>
                <w:rFonts w:ascii="標楷體"/>
                <w:sz w:val="32"/>
              </w:rPr>
            </w:r>
          </w:p>
        </w:tc>
        <w:tc>
          <w:tcPr>
            <w:tcW w:w="71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9"/>
              <w:ind w:left="27" w:right="95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pacing w:val="2"/>
                <w:sz w:val="30"/>
                <w:szCs w:val="30"/>
              </w:rPr>
              <w:t>曲解法規規定，例如：曲解採購法第五十八條之執行 程序。</w:t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</w:tc>
        <w:tc>
          <w:tcPr>
            <w:tcW w:w="11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63"/>
              <w:ind w:left="13" w:right="0"/>
              <w:jc w:val="center"/>
              <w:rPr>
                <w:rFonts w:ascii="新細明體" w:hAnsi="新細明體" w:cs="新細明體" w:eastAsia="新細明體"/>
                <w:sz w:val="50"/>
                <w:szCs w:val="50"/>
              </w:rPr>
            </w:pPr>
            <w:r>
              <w:rPr>
                <w:rFonts w:ascii="新細明體"/>
                <w:b/>
                <w:sz w:val="50"/>
              </w:rPr>
              <w:t>4</w:t>
            </w:r>
            <w:r>
              <w:rPr>
                <w:rFonts w:ascii="新細明體"/>
                <w:sz w:val="50"/>
              </w:rPr>
            </w:r>
          </w:p>
        </w:tc>
        <w:tc>
          <w:tcPr>
            <w:tcW w:w="133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332" w:hRule="exact"/>
        </w:trPr>
        <w:tc>
          <w:tcPr>
            <w:tcW w:w="5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/>
                <w:b/>
                <w:sz w:val="32"/>
              </w:rPr>
              <w:t>13</w:t>
            </w:r>
            <w:r>
              <w:rPr>
                <w:rFonts w:ascii="標楷體"/>
                <w:sz w:val="32"/>
              </w:rPr>
            </w:r>
          </w:p>
        </w:tc>
        <w:tc>
          <w:tcPr>
            <w:tcW w:w="71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5"/>
              <w:ind w:left="27" w:right="95"/>
              <w:jc w:val="both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pacing w:val="2"/>
                <w:sz w:val="30"/>
                <w:szCs w:val="30"/>
              </w:rPr>
              <w:t>標價偏低，未經分析逕行決標，或未通知廠商說明即 逕通知繳納差額保證金，或未繳納差額保證金前即決 標而於決標後通知繳納差額保證金。</w:t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</w:tc>
        <w:tc>
          <w:tcPr>
            <w:tcW w:w="11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274"/>
              <w:ind w:left="13" w:right="0"/>
              <w:jc w:val="center"/>
              <w:rPr>
                <w:rFonts w:ascii="新細明體" w:hAnsi="新細明體" w:cs="新細明體" w:eastAsia="新細明體"/>
                <w:sz w:val="50"/>
                <w:szCs w:val="50"/>
              </w:rPr>
            </w:pPr>
            <w:r>
              <w:rPr>
                <w:rFonts w:ascii="新細明體"/>
                <w:b/>
                <w:sz w:val="50"/>
              </w:rPr>
              <w:t>4</w:t>
            </w:r>
            <w:r>
              <w:rPr>
                <w:rFonts w:ascii="新細明體"/>
                <w:sz w:val="50"/>
              </w:rPr>
            </w:r>
          </w:p>
        </w:tc>
        <w:tc>
          <w:tcPr>
            <w:tcW w:w="133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303" w:hRule="exact"/>
        </w:trPr>
        <w:tc>
          <w:tcPr>
            <w:tcW w:w="5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/>
                <w:b/>
                <w:sz w:val="32"/>
              </w:rPr>
              <w:t>14</w:t>
            </w:r>
            <w:r>
              <w:rPr>
                <w:rFonts w:ascii="標楷體"/>
                <w:sz w:val="32"/>
              </w:rPr>
            </w:r>
          </w:p>
        </w:tc>
        <w:tc>
          <w:tcPr>
            <w:tcW w:w="71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21"/>
              <w:ind w:left="27" w:right="95"/>
              <w:jc w:val="both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pacing w:val="2"/>
                <w:sz w:val="30"/>
                <w:szCs w:val="30"/>
              </w:rPr>
              <w:t>委員會名單除經該委員會全體委員同意於招標文件公 告者外，未於開始評選前保密；委員會名單於評選出 最有利標或廢標後，未予解密。</w:t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</w:tc>
        <w:tc>
          <w:tcPr>
            <w:tcW w:w="11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260"/>
              <w:ind w:left="13" w:right="0"/>
              <w:jc w:val="center"/>
              <w:rPr>
                <w:rFonts w:ascii="新細明體" w:hAnsi="新細明體" w:cs="新細明體" w:eastAsia="新細明體"/>
                <w:sz w:val="50"/>
                <w:szCs w:val="50"/>
              </w:rPr>
            </w:pPr>
            <w:r>
              <w:rPr>
                <w:rFonts w:ascii="新細明體"/>
                <w:b/>
                <w:sz w:val="50"/>
              </w:rPr>
              <w:t>4</w:t>
            </w:r>
            <w:r>
              <w:rPr>
                <w:rFonts w:ascii="新細明體"/>
                <w:sz w:val="50"/>
              </w:rPr>
            </w:r>
          </w:p>
        </w:tc>
        <w:tc>
          <w:tcPr>
            <w:tcW w:w="1339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815" w:footer="819" w:top="1720" w:bottom="1000" w:left="760" w:right="7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7121"/>
        <w:gridCol w:w="1128"/>
        <w:gridCol w:w="1339"/>
      </w:tblGrid>
      <w:tr>
        <w:trPr>
          <w:trHeight w:val="1303" w:hRule="exact"/>
        </w:trPr>
        <w:tc>
          <w:tcPr>
            <w:tcW w:w="5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1"/>
              <w:ind w:left="27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pacing w:val="2"/>
                <w:sz w:val="24"/>
                <w:szCs w:val="24"/>
              </w:rPr>
              <w:t>項次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71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1"/>
              <w:ind w:left="16" w:right="0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pacing w:val="2"/>
                <w:sz w:val="24"/>
                <w:szCs w:val="24"/>
              </w:rPr>
              <w:t>錯誤行為態樣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11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12" w:lineRule="exact"/>
              <w:ind w:left="66" w:right="49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pacing w:val="1"/>
                <w:w w:val="95"/>
                <w:sz w:val="24"/>
                <w:szCs w:val="24"/>
              </w:rPr>
              <w:t>採購缺失</w:t>
            </w:r>
            <w:r>
              <w:rPr>
                <w:rFonts w:ascii="標楷體" w:hAnsi="標楷體" w:cs="標楷體" w:eastAsia="標楷體"/>
                <w:b/>
                <w:bCs/>
                <w:spacing w:val="2"/>
                <w:w w:val="9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pacing w:val="1"/>
                <w:w w:val="95"/>
                <w:sz w:val="24"/>
                <w:szCs w:val="24"/>
              </w:rPr>
              <w:t>個案件數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13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1"/>
              <w:ind w:left="414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pacing w:val="2"/>
                <w:sz w:val="24"/>
                <w:szCs w:val="24"/>
              </w:rPr>
              <w:t>備註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435" w:hRule="exact"/>
        </w:trPr>
        <w:tc>
          <w:tcPr>
            <w:tcW w:w="56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/>
                <w:b/>
                <w:sz w:val="32"/>
              </w:rPr>
              <w:t>15</w:t>
            </w:r>
            <w:r>
              <w:rPr>
                <w:rFonts w:ascii="標楷體"/>
                <w:sz w:val="32"/>
              </w:rPr>
            </w:r>
          </w:p>
        </w:tc>
        <w:tc>
          <w:tcPr>
            <w:tcW w:w="7121" w:type="dxa"/>
            <w:tcBorders>
              <w:top w:val="single" w:sz="16" w:space="0" w:color="000000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21"/>
              <w:ind w:left="27" w:right="0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pacing w:val="2"/>
                <w:sz w:val="30"/>
                <w:szCs w:val="30"/>
              </w:rPr>
              <w:t>認定採購金額之方式錯誤，例如：分批辦理採購，未</w:t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</w:tc>
        <w:tc>
          <w:tcPr>
            <w:tcW w:w="1128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260"/>
              <w:ind w:left="13" w:right="0"/>
              <w:jc w:val="center"/>
              <w:rPr>
                <w:rFonts w:ascii="新細明體" w:hAnsi="新細明體" w:cs="新細明體" w:eastAsia="新細明體"/>
                <w:sz w:val="50"/>
                <w:szCs w:val="50"/>
              </w:rPr>
            </w:pPr>
            <w:r>
              <w:rPr>
                <w:rFonts w:ascii="新細明體"/>
                <w:b/>
                <w:sz w:val="50"/>
              </w:rPr>
              <w:t>3</w:t>
            </w:r>
            <w:r>
              <w:rPr>
                <w:rFonts w:ascii="新細明體"/>
                <w:sz w:val="50"/>
              </w:rPr>
            </w:r>
          </w:p>
        </w:tc>
        <w:tc>
          <w:tcPr>
            <w:tcW w:w="1339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標楷體" w:hAnsi="標楷體" w:cs="標楷體" w:eastAsia="標楷體"/>
                <w:sz w:val="40"/>
                <w:szCs w:val="40"/>
              </w:rPr>
            </w:pPr>
            <w:r>
              <w:rPr>
                <w:rFonts w:ascii="標楷體" w:hAnsi="標楷體" w:cs="標楷體" w:eastAsia="標楷體"/>
                <w:b/>
                <w:bCs/>
                <w:spacing w:val="4"/>
                <w:sz w:val="40"/>
                <w:szCs w:val="40"/>
              </w:rPr>
              <w:t>稽核</w:t>
            </w:r>
            <w:r>
              <w:rPr>
                <w:rFonts w:ascii="標楷體" w:hAnsi="標楷體" w:cs="標楷體" w:eastAsia="標楷體"/>
                <w:sz w:val="40"/>
                <w:szCs w:val="40"/>
              </w:rPr>
            </w:r>
          </w:p>
        </w:tc>
      </w:tr>
      <w:tr>
        <w:trPr>
          <w:trHeight w:val="868" w:hRule="exact"/>
        </w:trPr>
        <w:tc>
          <w:tcPr>
            <w:tcW w:w="56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7121" w:type="dxa"/>
            <w:tcBorders>
              <w:top w:val="nil" w:sz="6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392" w:lineRule="exact" w:before="17"/>
              <w:ind w:left="27" w:right="95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pacing w:val="2"/>
                <w:sz w:val="30"/>
                <w:szCs w:val="30"/>
              </w:rPr>
              <w:t>依各批合計總金額認定其採購金額；未將含有選購或 後續擴充項目金額計入。</w:t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</w:tc>
        <w:tc>
          <w:tcPr>
            <w:tcW w:w="1128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33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5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227"/>
              <w:ind w:left="106" w:right="0"/>
              <w:jc w:val="left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/>
                <w:b/>
                <w:sz w:val="32"/>
              </w:rPr>
              <w:t>16</w:t>
            </w:r>
            <w:r>
              <w:rPr>
                <w:rFonts w:ascii="標楷體"/>
                <w:sz w:val="32"/>
              </w:rPr>
            </w:r>
          </w:p>
        </w:tc>
        <w:tc>
          <w:tcPr>
            <w:tcW w:w="71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45"/>
              <w:ind w:left="27" w:right="95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pacing w:val="2"/>
                <w:sz w:val="30"/>
                <w:szCs w:val="30"/>
              </w:rPr>
              <w:t>訂定特定資格未依該標準評估廠商家數及檢討有無限 制競爭。</w:t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</w:tc>
        <w:tc>
          <w:tcPr>
            <w:tcW w:w="11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90"/>
              <w:ind w:left="13" w:right="0"/>
              <w:jc w:val="center"/>
              <w:rPr>
                <w:rFonts w:ascii="新細明體" w:hAnsi="新細明體" w:cs="新細明體" w:eastAsia="新細明體"/>
                <w:sz w:val="50"/>
                <w:szCs w:val="50"/>
              </w:rPr>
            </w:pPr>
            <w:r>
              <w:rPr>
                <w:rFonts w:ascii="新細明體"/>
                <w:b/>
                <w:sz w:val="50"/>
              </w:rPr>
              <w:t>3</w:t>
            </w:r>
            <w:r>
              <w:rPr>
                <w:rFonts w:ascii="新細明體"/>
                <w:sz w:val="50"/>
              </w:rPr>
            </w:r>
          </w:p>
        </w:tc>
        <w:tc>
          <w:tcPr>
            <w:tcW w:w="133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13" w:hRule="exact"/>
        </w:trPr>
        <w:tc>
          <w:tcPr>
            <w:tcW w:w="56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72"/>
              <w:ind w:left="106" w:right="0"/>
              <w:jc w:val="left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/>
                <w:b/>
                <w:sz w:val="32"/>
              </w:rPr>
              <w:t>17</w:t>
            </w:r>
            <w:r>
              <w:rPr>
                <w:rFonts w:ascii="標楷體"/>
                <w:sz w:val="32"/>
              </w:rPr>
            </w:r>
          </w:p>
        </w:tc>
        <w:tc>
          <w:tcPr>
            <w:tcW w:w="7121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84"/>
              <w:ind w:left="27" w:right="0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pacing w:val="2"/>
                <w:sz w:val="30"/>
                <w:szCs w:val="30"/>
              </w:rPr>
              <w:t>招標文件有保留增購權利卻未於招標公告載明。</w:t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</w:tc>
        <w:tc>
          <w:tcPr>
            <w:tcW w:w="1128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4"/>
              <w:ind w:left="13" w:right="0"/>
              <w:jc w:val="center"/>
              <w:rPr>
                <w:rFonts w:ascii="新細明體" w:hAnsi="新細明體" w:cs="新細明體" w:eastAsia="新細明體"/>
                <w:sz w:val="50"/>
                <w:szCs w:val="50"/>
              </w:rPr>
            </w:pPr>
            <w:r>
              <w:rPr>
                <w:rFonts w:ascii="新細明體"/>
                <w:b/>
                <w:sz w:val="50"/>
              </w:rPr>
              <w:t>3</w:t>
            </w:r>
            <w:r>
              <w:rPr>
                <w:rFonts w:ascii="新細明體"/>
                <w:sz w:val="50"/>
              </w:rPr>
            </w:r>
          </w:p>
        </w:tc>
        <w:tc>
          <w:tcPr>
            <w:tcW w:w="1339" w:type="dxa"/>
            <w:vMerge/>
            <w:tcBorders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/>
          </w:p>
        </w:tc>
      </w:tr>
      <w:tr>
        <w:trPr>
          <w:trHeight w:val="237" w:hRule="exact"/>
        </w:trPr>
        <w:tc>
          <w:tcPr>
            <w:tcW w:w="56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7121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128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339" w:type="dxa"/>
            <w:vMerge w:val="restart"/>
            <w:tcBorders>
              <w:top w:val="nil" w:sz="6" w:space="0" w:color="auto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461" w:lineRule="exact"/>
              <w:ind w:left="253" w:right="0"/>
              <w:jc w:val="left"/>
              <w:rPr>
                <w:rFonts w:ascii="標楷體" w:hAnsi="標楷體" w:cs="標楷體" w:eastAsia="標楷體"/>
                <w:sz w:val="40"/>
                <w:szCs w:val="40"/>
              </w:rPr>
            </w:pPr>
            <w:r>
              <w:rPr>
                <w:rFonts w:ascii="標楷體" w:hAnsi="標楷體" w:cs="標楷體" w:eastAsia="標楷體"/>
                <w:b/>
                <w:bCs/>
                <w:spacing w:val="4"/>
                <w:sz w:val="40"/>
                <w:szCs w:val="40"/>
              </w:rPr>
              <w:t>監督</w:t>
            </w:r>
            <w:r>
              <w:rPr>
                <w:rFonts w:ascii="標楷體" w:hAnsi="標楷體" w:cs="標楷體" w:eastAsia="標楷體"/>
                <w:sz w:val="40"/>
                <w:szCs w:val="40"/>
              </w:rPr>
            </w:r>
          </w:p>
        </w:tc>
      </w:tr>
      <w:tr>
        <w:trPr>
          <w:trHeight w:val="284" w:hRule="exact"/>
        </w:trPr>
        <w:tc>
          <w:tcPr>
            <w:tcW w:w="56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72"/>
              <w:ind w:left="106" w:right="0"/>
              <w:jc w:val="left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/>
                <w:b/>
                <w:sz w:val="32"/>
              </w:rPr>
              <w:t>18</w:t>
            </w:r>
            <w:r>
              <w:rPr>
                <w:rFonts w:ascii="標楷體"/>
                <w:sz w:val="32"/>
              </w:rPr>
            </w:r>
          </w:p>
        </w:tc>
        <w:tc>
          <w:tcPr>
            <w:tcW w:w="7121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392" w:lineRule="exact" w:before="9"/>
              <w:ind w:left="27" w:right="95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pacing w:val="2"/>
                <w:sz w:val="30"/>
                <w:szCs w:val="30"/>
              </w:rPr>
              <w:t>開標前之應辦程序未辦妥，例如：漏通知上級機關監 辦；底價尚未訂定；無人主持。</w:t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</w:tc>
        <w:tc>
          <w:tcPr>
            <w:tcW w:w="1128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4"/>
              <w:ind w:left="13" w:right="0"/>
              <w:jc w:val="center"/>
              <w:rPr>
                <w:rFonts w:ascii="新細明體" w:hAnsi="新細明體" w:cs="新細明體" w:eastAsia="新細明體"/>
                <w:sz w:val="50"/>
                <w:szCs w:val="50"/>
              </w:rPr>
            </w:pPr>
            <w:r>
              <w:rPr>
                <w:rFonts w:ascii="新細明體"/>
                <w:b/>
                <w:sz w:val="50"/>
              </w:rPr>
              <w:t>3</w:t>
            </w:r>
            <w:r>
              <w:rPr>
                <w:rFonts w:ascii="新細明體"/>
                <w:sz w:val="50"/>
              </w:rPr>
            </w:r>
          </w:p>
        </w:tc>
        <w:tc>
          <w:tcPr>
            <w:tcW w:w="1339" w:type="dxa"/>
            <w:vMerge/>
            <w:tcBorders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56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7121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128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461" w:lineRule="exact"/>
              <w:ind w:left="49" w:right="0"/>
              <w:jc w:val="left"/>
              <w:rPr>
                <w:rFonts w:ascii="標楷體" w:hAnsi="標楷體" w:cs="標楷體" w:eastAsia="標楷體"/>
                <w:sz w:val="40"/>
                <w:szCs w:val="40"/>
              </w:rPr>
            </w:pPr>
            <w:r>
              <w:rPr>
                <w:rFonts w:ascii="標楷體" w:hAnsi="標楷體" w:cs="標楷體" w:eastAsia="標楷體"/>
                <w:b/>
                <w:bCs/>
                <w:spacing w:val="4"/>
                <w:sz w:val="40"/>
                <w:szCs w:val="40"/>
              </w:rPr>
              <w:t>各機關</w:t>
            </w:r>
            <w:r>
              <w:rPr>
                <w:rFonts w:ascii="標楷體" w:hAnsi="標楷體" w:cs="標楷體" w:eastAsia="標楷體"/>
                <w:sz w:val="40"/>
                <w:szCs w:val="40"/>
              </w:rPr>
            </w:r>
          </w:p>
        </w:tc>
      </w:tr>
      <w:tr>
        <w:trPr>
          <w:trHeight w:val="475" w:hRule="exact"/>
        </w:trPr>
        <w:tc>
          <w:tcPr>
            <w:tcW w:w="56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/>
                <w:b/>
                <w:sz w:val="32"/>
              </w:rPr>
              <w:t>19</w:t>
            </w:r>
            <w:r>
              <w:rPr>
                <w:rFonts w:ascii="標楷體"/>
                <w:sz w:val="32"/>
              </w:rPr>
            </w:r>
          </w:p>
        </w:tc>
        <w:tc>
          <w:tcPr>
            <w:tcW w:w="7121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/>
              <w:ind w:left="27" w:right="95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pacing w:val="2"/>
                <w:sz w:val="30"/>
                <w:szCs w:val="30"/>
              </w:rPr>
              <w:t>招標公告已載明後續擴充情形，採購金額未將預估選 購或擴充項目所需金額計入;或將預算金額誤以採購 金額填列。</w:t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</w:tc>
        <w:tc>
          <w:tcPr>
            <w:tcW w:w="1128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241"/>
              <w:ind w:left="13" w:right="0"/>
              <w:jc w:val="center"/>
              <w:rPr>
                <w:rFonts w:ascii="新細明體" w:hAnsi="新細明體" w:cs="新細明體" w:eastAsia="新細明體"/>
                <w:sz w:val="50"/>
                <w:szCs w:val="50"/>
              </w:rPr>
            </w:pPr>
            <w:r>
              <w:rPr>
                <w:rFonts w:ascii="新細明體"/>
                <w:b/>
                <w:sz w:val="50"/>
              </w:rPr>
              <w:t>3</w:t>
            </w:r>
            <w:r>
              <w:rPr>
                <w:rFonts w:ascii="新細明體"/>
                <w:sz w:val="50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415" w:lineRule="exact"/>
              <w:ind w:left="253" w:right="0"/>
              <w:jc w:val="left"/>
              <w:rPr>
                <w:rFonts w:ascii="標楷體" w:hAnsi="標楷體" w:cs="標楷體" w:eastAsia="標楷體"/>
                <w:sz w:val="40"/>
                <w:szCs w:val="40"/>
              </w:rPr>
            </w:pPr>
            <w:r>
              <w:rPr>
                <w:rFonts w:ascii="標楷體" w:hAnsi="標楷體" w:cs="標楷體" w:eastAsia="標楷體"/>
                <w:b/>
                <w:bCs/>
                <w:spacing w:val="4"/>
                <w:sz w:val="40"/>
                <w:szCs w:val="40"/>
              </w:rPr>
              <w:t>採購</w:t>
            </w:r>
            <w:r>
              <w:rPr>
                <w:rFonts w:ascii="標楷體" w:hAnsi="標楷體" w:cs="標楷體" w:eastAsia="標楷體"/>
                <w:sz w:val="40"/>
                <w:szCs w:val="40"/>
              </w:rPr>
            </w:r>
          </w:p>
        </w:tc>
      </w:tr>
      <w:tr>
        <w:trPr>
          <w:trHeight w:val="521" w:hRule="exact"/>
        </w:trPr>
        <w:tc>
          <w:tcPr>
            <w:tcW w:w="56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712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12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461" w:lineRule="exact"/>
              <w:ind w:left="253" w:right="0"/>
              <w:jc w:val="left"/>
              <w:rPr>
                <w:rFonts w:ascii="標楷體" w:hAnsi="標楷體" w:cs="標楷體" w:eastAsia="標楷體"/>
                <w:sz w:val="40"/>
                <w:szCs w:val="40"/>
              </w:rPr>
            </w:pPr>
            <w:r>
              <w:rPr>
                <w:rFonts w:ascii="標楷體" w:hAnsi="標楷體" w:cs="標楷體" w:eastAsia="標楷體"/>
                <w:b/>
                <w:bCs/>
                <w:spacing w:val="4"/>
                <w:sz w:val="40"/>
                <w:szCs w:val="40"/>
              </w:rPr>
              <w:t>所見</w:t>
            </w:r>
            <w:r>
              <w:rPr>
                <w:rFonts w:ascii="標楷體" w:hAnsi="標楷體" w:cs="標楷體" w:eastAsia="標楷體"/>
                <w:sz w:val="40"/>
                <w:szCs w:val="40"/>
              </w:rPr>
            </w:r>
          </w:p>
        </w:tc>
      </w:tr>
      <w:tr>
        <w:trPr>
          <w:trHeight w:val="266" w:hRule="exact"/>
        </w:trPr>
        <w:tc>
          <w:tcPr>
            <w:tcW w:w="56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7121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128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339" w:type="dxa"/>
            <w:vMerge w:val="restart"/>
            <w:tcBorders>
              <w:top w:val="nil" w:sz="6" w:space="0" w:color="auto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461" w:lineRule="exact"/>
              <w:ind w:left="253" w:right="0"/>
              <w:jc w:val="left"/>
              <w:rPr>
                <w:rFonts w:ascii="標楷體" w:hAnsi="標楷體" w:cs="標楷體" w:eastAsia="標楷體"/>
                <w:sz w:val="40"/>
                <w:szCs w:val="40"/>
              </w:rPr>
            </w:pPr>
            <w:r>
              <w:rPr>
                <w:rFonts w:ascii="標楷體" w:hAnsi="標楷體" w:cs="標楷體" w:eastAsia="標楷體"/>
                <w:b/>
                <w:bCs/>
                <w:spacing w:val="4"/>
                <w:sz w:val="40"/>
                <w:szCs w:val="40"/>
              </w:rPr>
              <w:t>缺失</w:t>
            </w:r>
            <w:r>
              <w:rPr>
                <w:rFonts w:ascii="標楷體" w:hAnsi="標楷體" w:cs="標楷體" w:eastAsia="標楷體"/>
                <w:sz w:val="40"/>
                <w:szCs w:val="40"/>
              </w:rPr>
            </w:r>
          </w:p>
        </w:tc>
      </w:tr>
      <w:tr>
        <w:trPr>
          <w:trHeight w:val="1219" w:hRule="exact"/>
        </w:trPr>
        <w:tc>
          <w:tcPr>
            <w:tcW w:w="5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/>
                <w:b/>
                <w:sz w:val="32"/>
              </w:rPr>
              <w:t>20</w:t>
            </w:r>
            <w:r>
              <w:rPr>
                <w:rFonts w:ascii="標楷體"/>
                <w:sz w:val="32"/>
              </w:rPr>
            </w:r>
          </w:p>
        </w:tc>
        <w:tc>
          <w:tcPr>
            <w:tcW w:w="71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370" w:lineRule="exact"/>
              <w:ind w:left="27" w:right="0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pacing w:val="2"/>
                <w:sz w:val="30"/>
                <w:szCs w:val="30"/>
              </w:rPr>
              <w:t>招標文件之評選項目、評審標準及評定方式，除有前</w:t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  <w:p>
            <w:pPr>
              <w:pStyle w:val="TableParagraph"/>
              <w:spacing w:line="240" w:lineRule="auto"/>
              <w:ind w:left="27" w:right="397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pacing w:val="2"/>
                <w:sz w:val="30"/>
                <w:szCs w:val="30"/>
              </w:rPr>
              <w:t>例或條件簡單者外，未由採購評選委員會訂定或審 定。</w:t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</w:tc>
        <w:tc>
          <w:tcPr>
            <w:tcW w:w="11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219"/>
              <w:ind w:left="13" w:right="0"/>
              <w:jc w:val="center"/>
              <w:rPr>
                <w:rFonts w:ascii="新細明體" w:hAnsi="新細明體" w:cs="新細明體" w:eastAsia="新細明體"/>
                <w:sz w:val="50"/>
                <w:szCs w:val="50"/>
              </w:rPr>
            </w:pPr>
            <w:r>
              <w:rPr>
                <w:rFonts w:ascii="新細明體"/>
                <w:b/>
                <w:sz w:val="50"/>
              </w:rPr>
              <w:t>3</w:t>
            </w:r>
            <w:r>
              <w:rPr>
                <w:rFonts w:ascii="新細明體"/>
                <w:sz w:val="50"/>
              </w:rPr>
            </w:r>
          </w:p>
        </w:tc>
        <w:tc>
          <w:tcPr>
            <w:tcW w:w="133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375" w:hRule="exact"/>
        </w:trPr>
        <w:tc>
          <w:tcPr>
            <w:tcW w:w="5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/>
                <w:b/>
                <w:sz w:val="32"/>
              </w:rPr>
              <w:t>21</w:t>
            </w:r>
            <w:r>
              <w:rPr>
                <w:rFonts w:ascii="標楷體"/>
                <w:sz w:val="32"/>
              </w:rPr>
            </w:r>
          </w:p>
        </w:tc>
        <w:tc>
          <w:tcPr>
            <w:tcW w:w="71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57"/>
              <w:ind w:left="27" w:right="95"/>
              <w:jc w:val="both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pacing w:val="2"/>
                <w:sz w:val="30"/>
                <w:szCs w:val="30"/>
              </w:rPr>
              <w:t>委員辦理評選，未於機關備具之評分（比）表逐項載 明各受評廠商之評分或序位，並簽名或蓋章；機關於 委員評選後，未彙整製作總表，載明相關內容。</w:t>
            </w:r>
            <w:r>
              <w:rPr>
                <w:rFonts w:ascii="標楷體" w:hAnsi="標楷體" w:cs="標楷體" w:eastAsia="標楷體"/>
                <w:sz w:val="30"/>
                <w:szCs w:val="30"/>
              </w:rPr>
            </w:r>
          </w:p>
        </w:tc>
        <w:tc>
          <w:tcPr>
            <w:tcW w:w="11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296"/>
              <w:ind w:left="13" w:right="0"/>
              <w:jc w:val="center"/>
              <w:rPr>
                <w:rFonts w:ascii="新細明體" w:hAnsi="新細明體" w:cs="新細明體" w:eastAsia="新細明體"/>
                <w:sz w:val="50"/>
                <w:szCs w:val="50"/>
              </w:rPr>
            </w:pPr>
            <w:r>
              <w:rPr>
                <w:rFonts w:ascii="新細明體"/>
                <w:b/>
                <w:sz w:val="50"/>
              </w:rPr>
              <w:t>3</w:t>
            </w:r>
            <w:r>
              <w:rPr>
                <w:rFonts w:ascii="新細明體"/>
                <w:sz w:val="50"/>
              </w:rPr>
            </w:r>
          </w:p>
        </w:tc>
        <w:tc>
          <w:tcPr>
            <w:tcW w:w="1339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sectPr>
      <w:pgSz w:w="11910" w:h="16840"/>
      <w:pgMar w:header="815" w:footer="819" w:top="1720" w:bottom="1000" w:left="7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新細明體">
    <w:altName w:val="新細明體"/>
    <w:charset w:val="88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0.480011pt;margin-top:790.030334pt;width:73.3pt;height:14pt;mso-position-horizontal-relative:page;mso-position-vertical-relative:page;z-index:-13408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新細明體" w:hAnsi="新細明體" w:cs="新細明體" w:eastAsia="新細明體"/>
                    <w:sz w:val="24"/>
                    <w:szCs w:val="24"/>
                  </w:rPr>
                </w:pPr>
                <w:r>
                  <w:rPr>
                    <w:rFonts w:ascii="新細明體" w:hAnsi="新細明體" w:cs="新細明體" w:eastAsia="新細明體"/>
                    <w:sz w:val="24"/>
                    <w:szCs w:val="24"/>
                  </w:rPr>
                  <w:t>第</w:t>
                </w:r>
                <w:r>
                  <w:rPr/>
                  <w:fldChar w:fldCharType="begin"/>
                </w:r>
                <w:r>
                  <w:rPr>
                    <w:rFonts w:ascii="新細明體" w:hAnsi="新細明體" w:cs="新細明體" w:eastAsia="新細明體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新細明體" w:hAnsi="新細明體" w:cs="新細明體" w:eastAsia="新細明體"/>
                    <w:sz w:val="24"/>
                    <w:szCs w:val="24"/>
                  </w:rPr>
                  <w:t>頁；共3頁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209999pt;margin-top:39.754040pt;width:475.8pt;height:48.15pt;mso-position-horizontal-relative:page;mso-position-vertical-relative:page;z-index:-13432" type="#_x0000_t202" filled="false" stroked="false">
          <v:textbox inset="0,0,0,0">
            <w:txbxContent>
              <w:p>
                <w:pPr>
                  <w:pStyle w:val="BodyText"/>
                  <w:spacing w:line="424" w:lineRule="exact"/>
                  <w:ind w:left="0" w:right="0"/>
                  <w:jc w:val="center"/>
                </w:pPr>
                <w:r>
                  <w:rPr>
                    <w:rFonts w:ascii="Times New Roman" w:hAnsi="Times New Roman" w:cs="Times New Roman" w:eastAsia="Times New Roman"/>
                    <w:spacing w:val="1"/>
                  </w:rPr>
                  <w:t>102</w:t>
                </w:r>
                <w:r>
                  <w:rPr>
                    <w:spacing w:val="1"/>
                  </w:rPr>
                  <w:t>年第</w:t>
                </w:r>
                <w:r>
                  <w:rPr>
                    <w:rFonts w:ascii="Times New Roman" w:hAnsi="Times New Roman" w:cs="Times New Roman" w:eastAsia="Times New Roman"/>
                    <w:spacing w:val="1"/>
                  </w:rPr>
                  <w:t>2</w:t>
                </w:r>
                <w:r>
                  <w:rPr>
                    <w:spacing w:val="1"/>
                  </w:rPr>
                  <w:t>、</w:t>
                </w:r>
                <w:r>
                  <w:rPr>
                    <w:rFonts w:ascii="Times New Roman" w:hAnsi="Times New Roman" w:cs="Times New Roman" w:eastAsia="Times New Roman"/>
                    <w:spacing w:val="1"/>
                  </w:rPr>
                  <w:t>3</w:t>
                </w:r>
                <w:r>
                  <w:rPr>
                    <w:spacing w:val="1"/>
                  </w:rPr>
                  <w:t>季（4月至9月）稽核監督各機關採購所見</w:t>
                </w:r>
                <w:r>
                  <w:rPr/>
                </w:r>
              </w:p>
              <w:p>
                <w:pPr>
                  <w:pStyle w:val="BodyText"/>
                  <w:spacing w:line="519" w:lineRule="exact"/>
                  <w:ind w:right="98"/>
                  <w:jc w:val="center"/>
                </w:pPr>
                <w:r>
                  <w:rPr>
                    <w:spacing w:val="2"/>
                  </w:rPr>
                  <w:t>錯誤行為態樣彙整表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-1"/>
    </w:pPr>
    <w:rPr>
      <w:rFonts w:ascii="標楷體" w:hAnsi="標楷體" w:eastAsia="標楷體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plan-396</dc:creator>
  <dcterms:created xsi:type="dcterms:W3CDTF">2018-08-09T14:21:02Z</dcterms:created>
  <dcterms:modified xsi:type="dcterms:W3CDTF">2018-08-09T14:21:02Z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2013-10-23T00:00:00Z</vt:filetime>
  </property>
  <property fmtid="{D5CDD505-2E9C-101B-9397-08002B2CF9AE}" pid="3" name="LastSaved">
    <vt:filetime>2018-08-09T00:00:00Z</vt:filetime>
  </property>
</Properties>
</file>