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1" w:lineRule="exact" w:before="0"/>
        <w:ind w:left="120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/>
          <w:bCs/>
          <w:spacing w:val="-1"/>
          <w:sz w:val="28"/>
          <w:szCs w:val="28"/>
        </w:rPr>
        <w:t>政風機構預警作為案件分案處理原則</w:t>
      </w:r>
      <w:r>
        <w:rPr>
          <w:rFonts w:ascii="標楷體" w:hAnsi="標楷體" w:cs="標楷體" w:eastAsia="標楷體"/>
          <w:sz w:val="28"/>
          <w:szCs w:val="28"/>
        </w:rPr>
      </w:r>
    </w:p>
    <w:p>
      <w:pPr>
        <w:spacing w:line="240" w:lineRule="auto" w:before="6"/>
        <w:rPr>
          <w:rFonts w:ascii="標楷體" w:hAnsi="標楷體" w:cs="標楷體" w:eastAsia="標楷體"/>
          <w:b/>
          <w:bCs/>
          <w:sz w:val="22"/>
          <w:szCs w:val="22"/>
        </w:rPr>
      </w:pPr>
    </w:p>
    <w:p>
      <w:pPr>
        <w:pStyle w:val="BodyText"/>
        <w:spacing w:line="240" w:lineRule="auto" w:before="0"/>
        <w:ind w:left="120" w:right="0"/>
        <w:jc w:val="left"/>
        <w:rPr>
          <w:rFonts w:ascii="標楷體" w:hAnsi="標楷體" w:cs="標楷體" w:eastAsia="標楷體"/>
        </w:rPr>
      </w:pPr>
      <w:r>
        <w:rPr>
          <w:spacing w:val="-1"/>
        </w:rPr>
        <w:t>中華民國一百零二年七月四日法務部廉政署廉預字第</w:t>
      </w:r>
      <w:r>
        <w:rPr>
          <w:spacing w:val="-69"/>
        </w:rPr>
        <w:t> </w:t>
      </w:r>
      <w:r>
        <w:rPr>
          <w:rFonts w:ascii="標楷體" w:hAnsi="標楷體" w:cs="標楷體" w:eastAsia="標楷體"/>
          <w:spacing w:val="-2"/>
        </w:rPr>
        <w:t>10205017370</w:t>
      </w:r>
    </w:p>
    <w:p>
      <w:pPr>
        <w:pStyle w:val="BodyText"/>
        <w:spacing w:line="314" w:lineRule="auto" w:before="113"/>
        <w:ind w:left="120" w:right="0"/>
        <w:jc w:val="left"/>
      </w:pPr>
      <w:r>
        <w:rPr>
          <w:spacing w:val="-1"/>
        </w:rPr>
        <w:t>號函訂定全文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1"/>
        </w:rPr>
        <w:t>11</w:t>
      </w:r>
      <w:r>
        <w:rPr>
          <w:rFonts w:ascii="標楷體" w:hAnsi="標楷體" w:cs="標楷體" w:eastAsia="標楷體"/>
          <w:spacing w:val="-71"/>
        </w:rPr>
        <w:t> </w:t>
      </w:r>
      <w:r>
        <w:rPr/>
        <w:t>點</w:t>
      </w:r>
      <w:r>
        <w:rPr>
          <w:spacing w:val="23"/>
        </w:rPr>
        <w:t> </w:t>
      </w:r>
      <w:r>
        <w:rPr>
          <w:spacing w:val="-4"/>
        </w:rPr>
        <w:t>一、為落實預防貪瀆之預警功能，有效追蹤管考政風機構先期預警作</w:t>
      </w:r>
    </w:p>
    <w:p>
      <w:pPr>
        <w:pStyle w:val="BodyText"/>
        <w:spacing w:line="314" w:lineRule="auto"/>
        <w:ind w:left="679" w:right="0"/>
        <w:jc w:val="left"/>
      </w:pPr>
      <w:r>
        <w:rPr>
          <w:spacing w:val="-5"/>
        </w:rPr>
        <w:t>為案件之編號、分案、登錄及結案，法務部廉政署</w:t>
      </w:r>
      <w:r>
        <w:rPr>
          <w:rFonts w:ascii="標楷體" w:hAnsi="標楷體" w:cs="標楷體" w:eastAsia="標楷體"/>
          <w:spacing w:val="-5"/>
        </w:rPr>
        <w:t>(</w:t>
      </w:r>
      <w:r>
        <w:rPr>
          <w:spacing w:val="-5"/>
        </w:rPr>
        <w:t>下簡稱本署</w:t>
      </w:r>
      <w:r>
        <w:rPr>
          <w:rFonts w:ascii="標楷體" w:hAnsi="標楷體" w:cs="標楷體" w:eastAsia="標楷體"/>
          <w:spacing w:val="-5"/>
        </w:rPr>
        <w:t>)</w:t>
      </w:r>
      <w:r>
        <w:rPr>
          <w:rFonts w:ascii="標楷體" w:hAnsi="標楷體" w:cs="標楷體" w:eastAsia="標楷體"/>
          <w:spacing w:val="55"/>
        </w:rPr>
        <w:t> </w:t>
      </w:r>
      <w:r>
        <w:rPr>
          <w:spacing w:val="-1"/>
        </w:rPr>
        <w:t>特訂定本原則。</w:t>
      </w:r>
    </w:p>
    <w:p>
      <w:pPr>
        <w:pStyle w:val="BodyText"/>
        <w:spacing w:line="314" w:lineRule="auto"/>
        <w:ind w:left="679" w:right="0" w:hanging="560"/>
        <w:jc w:val="left"/>
      </w:pPr>
      <w:r>
        <w:rPr>
          <w:spacing w:val="-5"/>
        </w:rPr>
        <w:t>二、本署對於政風機構預警作為案件按年度、分案次序，分別編號，</w:t>
      </w:r>
      <w:r>
        <w:rPr>
          <w:spacing w:val="55"/>
        </w:rPr>
        <w:t> </w:t>
      </w:r>
      <w:r>
        <w:rPr>
          <w:spacing w:val="-1"/>
        </w:rPr>
        <w:t>並逐案建立卷宗及資料庫，定期追蹤管考。</w:t>
      </w:r>
    </w:p>
    <w:p>
      <w:pPr>
        <w:pStyle w:val="BodyText"/>
        <w:spacing w:line="314" w:lineRule="auto" w:before="27"/>
        <w:ind w:left="679" w:right="114" w:hanging="560"/>
        <w:jc w:val="both"/>
      </w:pPr>
      <w:r>
        <w:rPr>
          <w:spacing w:val="2"/>
        </w:rPr>
        <w:t>三</w:t>
      </w:r>
      <w:r>
        <w:rPr/>
        <w:t>、本</w:t>
      </w:r>
      <w:r>
        <w:rPr>
          <w:spacing w:val="2"/>
        </w:rPr>
        <w:t>原</w:t>
      </w:r>
      <w:r>
        <w:rPr/>
        <w:t>則所</w:t>
      </w:r>
      <w:r>
        <w:rPr>
          <w:spacing w:val="2"/>
        </w:rPr>
        <w:t>稱</w:t>
      </w:r>
      <w:r>
        <w:rPr/>
        <w:t>「</w:t>
      </w:r>
      <w:r>
        <w:rPr>
          <w:spacing w:val="2"/>
        </w:rPr>
        <w:t>預</w:t>
      </w:r>
      <w:r>
        <w:rPr/>
        <w:t>警作</w:t>
      </w:r>
      <w:r>
        <w:rPr>
          <w:spacing w:val="2"/>
        </w:rPr>
        <w:t>為</w:t>
      </w:r>
      <w:r>
        <w:rPr>
          <w:spacing w:val="-140"/>
        </w:rPr>
        <w:t>」</w:t>
      </w:r>
      <w:r>
        <w:rPr/>
        <w:t>，係</w:t>
      </w:r>
      <w:r>
        <w:rPr>
          <w:spacing w:val="2"/>
        </w:rPr>
        <w:t>指</w:t>
      </w:r>
      <w:r>
        <w:rPr/>
        <w:t>機</w:t>
      </w:r>
      <w:r>
        <w:rPr>
          <w:spacing w:val="2"/>
        </w:rPr>
        <w:t>關</w:t>
      </w:r>
      <w:r>
        <w:rPr/>
        <w:t>出現</w:t>
      </w:r>
      <w:r>
        <w:rPr>
          <w:spacing w:val="2"/>
        </w:rPr>
        <w:t>潛</w:t>
      </w:r>
      <w:r>
        <w:rPr/>
        <w:t>存違</w:t>
      </w:r>
      <w:r>
        <w:rPr>
          <w:spacing w:val="2"/>
        </w:rPr>
        <w:t>失</w:t>
      </w:r>
      <w:r>
        <w:rPr/>
        <w:t>風</w:t>
      </w:r>
      <w:r>
        <w:rPr>
          <w:spacing w:val="2"/>
        </w:rPr>
        <w:t>險</w:t>
      </w:r>
      <w:r>
        <w:rPr/>
        <w:t>事件</w:t>
      </w:r>
      <w:r>
        <w:rPr>
          <w:spacing w:val="2"/>
        </w:rPr>
        <w:t>或</w:t>
      </w:r>
      <w:r>
        <w:rPr/>
        <w:t>人</w:t>
      </w:r>
      <w:r>
        <w:rPr/>
        <w:t> </w:t>
      </w:r>
      <w:r>
        <w:rPr>
          <w:spacing w:val="-5"/>
        </w:rPr>
        <w:t>員，由政風機構即時簽陳首長，或循政風體系陳報主管機關政風</w:t>
      </w:r>
      <w:r>
        <w:rPr>
          <w:spacing w:val="47"/>
        </w:rPr>
        <w:t> </w:t>
      </w:r>
      <w:r>
        <w:rPr>
          <w:spacing w:val="-1"/>
        </w:rPr>
        <w:t>機構及本署，機先採取防範作為。</w:t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四、預警作為案件之作業流程：</w:t>
      </w:r>
    </w:p>
    <w:p>
      <w:pPr>
        <w:pStyle w:val="BodyText"/>
        <w:spacing w:line="314" w:lineRule="auto" w:before="113"/>
        <w:ind w:right="0" w:hanging="480"/>
        <w:jc w:val="left"/>
      </w:pPr>
      <w:r>
        <w:rPr>
          <w:spacing w:val="-1"/>
        </w:rPr>
        <w:t>（一）分案標準</w:t>
      </w:r>
      <w:r>
        <w:rPr>
          <w:spacing w:val="24"/>
        </w:rPr>
        <w:t> </w:t>
      </w:r>
      <w:r>
        <w:rPr>
          <w:spacing w:val="-2"/>
        </w:rPr>
        <w:t>機關出現潛存違失風險事件或人員，經查有貪瀆不法或違失</w:t>
      </w:r>
      <w:r>
        <w:rPr>
          <w:spacing w:val="51"/>
        </w:rPr>
        <w:t> </w:t>
      </w:r>
      <w:r>
        <w:rPr>
          <w:spacing w:val="-1"/>
        </w:rPr>
        <w:t>之虞，惟尚未構成刑事犯罪，而有下列情形之一者：</w:t>
      </w:r>
      <w:r>
        <w:rPr>
          <w:spacing w:val="23"/>
        </w:rPr>
        <w:t> </w:t>
      </w:r>
      <w:r>
        <w:rPr>
          <w:spacing w:val="-2"/>
        </w:rPr>
        <w:t>１、員工參加與其職務有利害關係者之飲宴應酬，或接受不</w:t>
      </w:r>
    </w:p>
    <w:p>
      <w:pPr>
        <w:pStyle w:val="BodyText"/>
        <w:spacing w:line="314" w:lineRule="auto" w:before="27"/>
        <w:ind w:right="0" w:firstLine="559"/>
        <w:jc w:val="left"/>
      </w:pPr>
      <w:r>
        <w:rPr/>
        <w:t>當招待。 </w:t>
      </w:r>
      <w:r>
        <w:rPr>
          <w:spacing w:val="-2"/>
        </w:rPr>
        <w:t>２、涉足不妥當場所或與其職務有利害關係之相關人員為不</w:t>
      </w:r>
    </w:p>
    <w:p>
      <w:pPr>
        <w:pStyle w:val="BodyText"/>
        <w:spacing w:line="314" w:lineRule="auto"/>
        <w:ind w:right="504" w:firstLine="559"/>
        <w:jc w:val="left"/>
      </w:pPr>
      <w:r>
        <w:rPr/>
        <w:t>當接觸。 </w:t>
      </w:r>
      <w:r>
        <w:rPr>
          <w:spacing w:val="-1"/>
        </w:rPr>
        <w:t>３、接受與其職務有利害關係者餽贈財物。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４、涉及請託關說事件。</w:t>
      </w:r>
    </w:p>
    <w:p>
      <w:pPr>
        <w:pStyle w:val="BodyText"/>
        <w:spacing w:line="314" w:lineRule="auto" w:before="113"/>
        <w:ind w:left="1639" w:right="0" w:hanging="560"/>
        <w:jc w:val="left"/>
      </w:pPr>
      <w:r>
        <w:rPr>
          <w:spacing w:val="-2"/>
        </w:rPr>
        <w:t>５、員工承辦案件延宕、藉機刁難、未經授權查詢公務資料</w:t>
      </w:r>
      <w:r>
        <w:rPr>
          <w:spacing w:val="51"/>
        </w:rPr>
        <w:t> </w:t>
      </w:r>
      <w:r>
        <w:rPr>
          <w:spacing w:val="-1"/>
        </w:rPr>
        <w:t>或個人資料、不依法規辦理等作業違常。</w:t>
      </w:r>
    </w:p>
    <w:p>
      <w:pPr>
        <w:pStyle w:val="BodyText"/>
        <w:spacing w:line="314" w:lineRule="auto"/>
        <w:ind w:left="1639" w:right="0" w:hanging="560"/>
        <w:jc w:val="left"/>
      </w:pPr>
      <w:r>
        <w:rPr>
          <w:spacing w:val="-2"/>
        </w:rPr>
        <w:t>６、員工違法經營商業、收支顯不相當、參與合會積欠會款</w:t>
      </w:r>
      <w:r>
        <w:rPr>
          <w:spacing w:val="51"/>
        </w:rPr>
        <w:t> </w:t>
      </w:r>
      <w:r>
        <w:rPr>
          <w:spacing w:val="-1"/>
        </w:rPr>
        <w:t>或惡性倒會、財務困窘、交往關係複雜等生活違常。</w:t>
      </w:r>
    </w:p>
    <w:p>
      <w:pPr>
        <w:pStyle w:val="BodyText"/>
        <w:spacing w:line="314" w:lineRule="auto"/>
        <w:ind w:left="1639" w:right="0" w:hanging="560"/>
        <w:jc w:val="left"/>
      </w:pPr>
      <w:r>
        <w:rPr>
          <w:spacing w:val="-2"/>
        </w:rPr>
        <w:t>７、業務稽核、監辦（會辦）採購、會同業務檢核發現異常</w:t>
      </w:r>
      <w:r>
        <w:rPr>
          <w:spacing w:val="51"/>
        </w:rPr>
        <w:t> </w:t>
      </w:r>
      <w:r>
        <w:rPr/>
        <w:t>者。</w:t>
      </w: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８、受理檢舉、媒體報導、上級交查、民代質詢機關員工疑</w:t>
      </w:r>
    </w:p>
    <w:p>
      <w:pPr>
        <w:spacing w:after="0" w:line="240" w:lineRule="auto"/>
        <w:jc w:val="left"/>
        <w:sectPr>
          <w:type w:val="continuous"/>
          <w:pgSz w:w="11910" w:h="16840"/>
          <w:pgMar w:top="1500" w:bottom="280" w:left="1680" w:right="1680"/>
        </w:sectPr>
      </w:pPr>
    </w:p>
    <w:p>
      <w:pPr>
        <w:pStyle w:val="BodyText"/>
        <w:spacing w:line="314" w:lineRule="auto" w:before="0"/>
        <w:ind w:right="0" w:firstLine="559"/>
        <w:jc w:val="left"/>
      </w:pPr>
      <w:r>
        <w:rPr>
          <w:spacing w:val="-1"/>
        </w:rPr>
        <w:t>有違失之案件。</w:t>
      </w:r>
      <w:r>
        <w:rPr>
          <w:spacing w:val="24"/>
        </w:rPr>
        <w:t> </w:t>
      </w:r>
      <w:r>
        <w:rPr>
          <w:spacing w:val="-2"/>
        </w:rPr>
        <w:t>９、違反公務員服務法、公職人員利益衝突迴避法等廉政法</w:t>
      </w:r>
    </w:p>
    <w:p>
      <w:pPr>
        <w:pStyle w:val="BodyText"/>
        <w:spacing w:line="314" w:lineRule="auto"/>
        <w:ind w:right="1124" w:firstLine="559"/>
        <w:jc w:val="left"/>
      </w:pPr>
      <w:r>
        <w:rPr/>
        <w:t>規。 </w:t>
      </w:r>
      <w:r>
        <w:rPr>
          <w:spacing w:val="-1"/>
        </w:rPr>
        <w:t>１０、其他出現嚴重影響機關聲譽之風險。</w:t>
      </w:r>
    </w:p>
    <w:p>
      <w:pPr>
        <w:pStyle w:val="BodyText"/>
        <w:spacing w:line="314" w:lineRule="auto"/>
        <w:ind w:right="0" w:hanging="480"/>
        <w:jc w:val="left"/>
      </w:pPr>
      <w:r>
        <w:rPr>
          <w:spacing w:val="-1"/>
        </w:rPr>
        <w:t>（二）分案程序</w:t>
      </w:r>
      <w:r>
        <w:rPr>
          <w:spacing w:val="24"/>
        </w:rPr>
        <w:t> </w:t>
      </w:r>
      <w:r>
        <w:rPr>
          <w:spacing w:val="-2"/>
        </w:rPr>
        <w:t>１、本署於接獲主管機關政風機構函報預警作為案件，簽准</w:t>
      </w:r>
    </w:p>
    <w:p>
      <w:pPr>
        <w:pStyle w:val="BodyText"/>
        <w:spacing w:line="314" w:lineRule="auto"/>
        <w:ind w:right="0" w:firstLine="559"/>
        <w:jc w:val="left"/>
      </w:pPr>
      <w:r>
        <w:rPr/>
        <w:t>後依序</w:t>
      </w:r>
      <w:r>
        <w:rPr>
          <w:spacing w:val="-109"/>
        </w:rPr>
        <w:t>分</w:t>
      </w:r>
      <w:r>
        <w:rPr>
          <w:spacing w:val="-3"/>
        </w:rPr>
        <w:t>「</w:t>
      </w:r>
      <w:r>
        <w:rPr/>
        <w:t>聲廉</w:t>
      </w:r>
      <w:r>
        <w:rPr>
          <w:spacing w:val="-3"/>
        </w:rPr>
        <w:t>預警</w:t>
      </w:r>
      <w:r>
        <w:rPr>
          <w:spacing w:val="-109"/>
        </w:rPr>
        <w:t>」</w:t>
      </w:r>
      <w:r>
        <w:rPr/>
        <w:t>字案號</w:t>
      </w:r>
      <w:r>
        <w:rPr>
          <w:spacing w:val="-3"/>
        </w:rPr>
        <w:t>並</w:t>
      </w:r>
      <w:r>
        <w:rPr/>
        <w:t>通知</w:t>
      </w:r>
      <w:r>
        <w:rPr>
          <w:spacing w:val="-3"/>
        </w:rPr>
        <w:t>主管</w:t>
      </w:r>
      <w:r>
        <w:rPr/>
        <w:t>機關政</w:t>
      </w:r>
      <w:r>
        <w:rPr>
          <w:spacing w:val="-3"/>
        </w:rPr>
        <w:t>風</w:t>
      </w:r>
      <w:r>
        <w:rPr/>
        <w:t>機構。</w:t>
      </w:r>
      <w:r>
        <w:rPr/>
        <w:t> </w:t>
      </w:r>
      <w:r>
        <w:rPr>
          <w:spacing w:val="-2"/>
        </w:rPr>
        <w:t>２、署長或其授權人員指分案件，即分「廉預警」字案號交</w:t>
      </w:r>
    </w:p>
    <w:p>
      <w:pPr>
        <w:pStyle w:val="BodyText"/>
        <w:spacing w:line="314" w:lineRule="auto" w:before="27"/>
        <w:ind w:right="0" w:firstLine="559"/>
        <w:jc w:val="left"/>
      </w:pPr>
      <w:r>
        <w:rPr>
          <w:spacing w:val="-1"/>
        </w:rPr>
        <w:t>由權責主管機關政風機構處理。</w:t>
      </w:r>
      <w:r>
        <w:rPr>
          <w:spacing w:val="23"/>
        </w:rPr>
        <w:t> </w:t>
      </w:r>
      <w:r>
        <w:rPr>
          <w:spacing w:val="-2"/>
        </w:rPr>
        <w:t>３、本署相關單位認有分案必要者，得敘明事由簽陳署長或</w:t>
      </w:r>
    </w:p>
    <w:p>
      <w:pPr>
        <w:pStyle w:val="BodyText"/>
        <w:spacing w:line="314" w:lineRule="auto"/>
        <w:ind w:left="1639" w:right="245"/>
        <w:jc w:val="both"/>
      </w:pPr>
      <w:r>
        <w:rPr>
          <w:spacing w:val="-1"/>
        </w:rPr>
        <w:t>其授權人員核准後，會知防貪組分「廉預警」字案號交</w:t>
      </w:r>
      <w:r>
        <w:rPr>
          <w:spacing w:val="21"/>
        </w:rPr>
        <w:t> </w:t>
      </w:r>
      <w:r>
        <w:rPr>
          <w:spacing w:val="-1"/>
        </w:rPr>
        <w:t>權責主管機關政風機構處理。</w:t>
      </w:r>
    </w:p>
    <w:p>
      <w:pPr>
        <w:pStyle w:val="BodyText"/>
        <w:spacing w:line="314" w:lineRule="auto"/>
        <w:ind w:left="1639" w:right="0" w:hanging="560"/>
        <w:jc w:val="left"/>
      </w:pPr>
      <w:r>
        <w:rPr>
          <w:spacing w:val="-2"/>
        </w:rPr>
        <w:t>４、前述各款預警作為案件，本署防貪組應指定專人辦理分</w:t>
      </w:r>
      <w:r>
        <w:rPr>
          <w:spacing w:val="51"/>
        </w:rPr>
        <w:t> </w:t>
      </w:r>
      <w:r>
        <w:rPr>
          <w:spacing w:val="-1"/>
        </w:rPr>
        <w:t>案及追蹤。</w:t>
      </w:r>
    </w:p>
    <w:p>
      <w:pPr>
        <w:pStyle w:val="BodyText"/>
        <w:spacing w:line="314" w:lineRule="auto"/>
        <w:ind w:right="0" w:hanging="480"/>
        <w:jc w:val="left"/>
      </w:pPr>
      <w:r>
        <w:rPr>
          <w:spacing w:val="-1"/>
        </w:rPr>
        <w:t>（三）登錄方式</w:t>
      </w:r>
      <w:r>
        <w:rPr>
          <w:spacing w:val="24"/>
        </w:rPr>
        <w:t> </w:t>
      </w:r>
      <w:r>
        <w:rPr>
          <w:spacing w:val="-2"/>
        </w:rPr>
        <w:t>１、經本署核准及發交之新分案件，主管機關政風機構除函</w:t>
      </w:r>
    </w:p>
    <w:p>
      <w:pPr>
        <w:pStyle w:val="BodyText"/>
        <w:spacing w:line="314" w:lineRule="auto" w:before="27"/>
        <w:ind w:left="1639" w:right="240"/>
        <w:jc w:val="both"/>
      </w:pPr>
      <w:r>
        <w:rPr>
          <w:spacing w:val="-1"/>
        </w:rPr>
        <w:t>報處理情形外，應逐案於本署廉政業務管理系統之「預</w:t>
      </w:r>
      <w:r>
        <w:rPr>
          <w:spacing w:val="21"/>
        </w:rPr>
        <w:t> </w:t>
      </w:r>
      <w:r>
        <w:rPr>
          <w:spacing w:val="-1"/>
        </w:rPr>
        <w:t>警作為案件管理作業」子系統（下稱本系統）登錄「廉</w:t>
      </w:r>
      <w:r>
        <w:rPr>
          <w:spacing w:val="21"/>
        </w:rPr>
        <w:t> </w:t>
      </w:r>
      <w:r>
        <w:rPr/>
        <w:t>預警</w:t>
      </w:r>
      <w:r>
        <w:rPr>
          <w:spacing w:val="-142"/>
        </w:rPr>
        <w:t>」</w:t>
      </w:r>
      <w:r>
        <w:rPr>
          <w:spacing w:val="-140"/>
        </w:rPr>
        <w:t>、</w:t>
      </w:r>
      <w:r>
        <w:rPr>
          <w:spacing w:val="-3"/>
        </w:rPr>
        <w:t>「</w:t>
      </w:r>
      <w:r>
        <w:rPr/>
        <w:t>聲廉</w:t>
      </w:r>
      <w:r>
        <w:rPr>
          <w:spacing w:val="-3"/>
        </w:rPr>
        <w:t>預警</w:t>
      </w:r>
      <w:r>
        <w:rPr/>
        <w:t>」字案</w:t>
      </w:r>
      <w:r>
        <w:rPr>
          <w:spacing w:val="-3"/>
        </w:rPr>
        <w:t>件</w:t>
      </w:r>
      <w:r>
        <w:rPr/>
        <w:t>相關</w:t>
      </w:r>
      <w:r>
        <w:rPr>
          <w:spacing w:val="-3"/>
        </w:rPr>
        <w:t>資</w:t>
      </w:r>
      <w:r>
        <w:rPr>
          <w:spacing w:val="1"/>
        </w:rPr>
        <w:t>料</w:t>
      </w:r>
      <w:r>
        <w:rPr>
          <w:rFonts w:ascii="標楷體" w:hAnsi="標楷體" w:cs="標楷體" w:eastAsia="標楷體"/>
          <w:spacing w:val="-2"/>
        </w:rPr>
        <w:t>(</w:t>
      </w:r>
      <w:r>
        <w:rPr/>
        <w:t>格式如</w:t>
      </w:r>
      <w:r>
        <w:rPr>
          <w:spacing w:val="-3"/>
        </w:rPr>
        <w:t>附</w:t>
      </w:r>
      <w:r>
        <w:rPr/>
        <w:t>表</w:t>
      </w:r>
      <w:r>
        <w:rPr>
          <w:rFonts w:ascii="標楷體" w:hAnsi="標楷體" w:cs="標楷體" w:eastAsia="標楷體"/>
          <w:spacing w:val="-2"/>
        </w:rPr>
        <w:t>)</w:t>
      </w:r>
      <w:r>
        <w:rPr/>
        <w:t>，以</w:t>
      </w:r>
      <w:r>
        <w:rPr/>
        <w:t> </w:t>
      </w:r>
      <w:r>
        <w:rPr>
          <w:spacing w:val="-1"/>
        </w:rPr>
        <w:t>建立資料庫追蹤管考。</w:t>
      </w:r>
    </w:p>
    <w:p>
      <w:pPr>
        <w:pStyle w:val="BodyText"/>
        <w:spacing w:line="314" w:lineRule="auto"/>
        <w:ind w:left="1639" w:right="0" w:hanging="560"/>
        <w:jc w:val="left"/>
      </w:pPr>
      <w:r>
        <w:rPr>
          <w:spacing w:val="-53"/>
        </w:rPr>
        <w:t>２</w:t>
      </w:r>
      <w:r>
        <w:rPr>
          <w:spacing w:val="-56"/>
        </w:rPr>
        <w:t>、</w:t>
      </w:r>
      <w:r>
        <w:rPr/>
        <w:t>主管</w:t>
      </w:r>
      <w:r>
        <w:rPr>
          <w:spacing w:val="-3"/>
        </w:rPr>
        <w:t>機</w:t>
      </w:r>
      <w:r>
        <w:rPr/>
        <w:t>關政</w:t>
      </w:r>
      <w:r>
        <w:rPr>
          <w:spacing w:val="-3"/>
        </w:rPr>
        <w:t>風機</w:t>
      </w:r>
      <w:r>
        <w:rPr/>
        <w:t>構應追</w:t>
      </w:r>
      <w:r>
        <w:rPr>
          <w:spacing w:val="-3"/>
        </w:rPr>
        <w:t>蹤</w:t>
      </w:r>
      <w:r>
        <w:rPr/>
        <w:t>預警</w:t>
      </w:r>
      <w:r>
        <w:rPr>
          <w:spacing w:val="-3"/>
        </w:rPr>
        <w:t>作為</w:t>
      </w:r>
      <w:r>
        <w:rPr/>
        <w:t>後續執</w:t>
      </w:r>
      <w:r>
        <w:rPr>
          <w:spacing w:val="-3"/>
        </w:rPr>
        <w:t>行</w:t>
      </w:r>
      <w:r>
        <w:rPr/>
        <w:t>情形</w:t>
      </w:r>
      <w:r>
        <w:rPr>
          <w:spacing w:val="-3"/>
        </w:rPr>
        <w:t>及效</w:t>
      </w:r>
      <w:r>
        <w:rPr>
          <w:spacing w:val="-36"/>
        </w:rPr>
        <w:t>益</w:t>
      </w:r>
      <w:r>
        <w:rPr/>
        <w:t>，</w:t>
      </w:r>
      <w:r>
        <w:rPr/>
        <w:t> </w:t>
      </w:r>
      <w:r>
        <w:rPr>
          <w:spacing w:val="-1"/>
        </w:rPr>
        <w:t>依案號登錄於本系統。</w:t>
      </w:r>
    </w:p>
    <w:p>
      <w:pPr>
        <w:pStyle w:val="BodyText"/>
        <w:spacing w:line="314" w:lineRule="auto"/>
        <w:ind w:left="1639" w:right="0" w:hanging="560"/>
        <w:jc w:val="left"/>
      </w:pPr>
      <w:r>
        <w:rPr>
          <w:spacing w:val="-2"/>
        </w:rPr>
        <w:t>３、本署防貪組應定期檢視政風機構登錄資料，並追蹤處理</w:t>
      </w:r>
      <w:r>
        <w:rPr>
          <w:spacing w:val="51"/>
        </w:rPr>
        <w:t> </w:t>
      </w:r>
      <w:r>
        <w:rPr>
          <w:spacing w:val="-1"/>
        </w:rPr>
        <w:t>情形及效益。</w:t>
      </w:r>
    </w:p>
    <w:p>
      <w:pPr>
        <w:pStyle w:val="BodyText"/>
        <w:spacing w:line="314" w:lineRule="auto" w:before="27"/>
        <w:ind w:left="1639" w:right="0" w:hanging="560"/>
        <w:jc w:val="left"/>
      </w:pPr>
      <w:r>
        <w:rPr>
          <w:spacing w:val="-2"/>
        </w:rPr>
        <w:t>４、本署發交權責主管機關政風機構處理之預警作為案件，</w:t>
      </w:r>
      <w:r>
        <w:rPr>
          <w:spacing w:val="51"/>
        </w:rPr>
        <w:t> </w:t>
      </w:r>
      <w:r>
        <w:rPr/>
        <w:t>原則上應於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2"/>
        </w:rPr>
        <w:t>個月內完成預警措施，逾期未完成者，每</w:t>
      </w:r>
    </w:p>
    <w:p>
      <w:pPr>
        <w:pStyle w:val="BodyText"/>
        <w:spacing w:line="314" w:lineRule="auto"/>
        <w:ind w:left="1639" w:right="312"/>
        <w:jc w:val="both"/>
      </w:pP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72"/>
        </w:rPr>
        <w:t> </w:t>
      </w:r>
      <w:r>
        <w:rPr/>
        <w:t>週以書面稽催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次；但有正當理由者得辦理展延，無</w:t>
      </w:r>
      <w:r>
        <w:rPr>
          <w:spacing w:val="22"/>
        </w:rPr>
        <w:t> </w:t>
      </w:r>
      <w:r>
        <w:rPr>
          <w:spacing w:val="-2"/>
        </w:rPr>
        <w:t>正當理由逾期者，註記列入績效考評。</w:t>
      </w:r>
    </w:p>
    <w:p>
      <w:pPr>
        <w:pStyle w:val="BodyText"/>
        <w:spacing w:line="240" w:lineRule="auto"/>
        <w:ind w:left="600" w:right="0"/>
        <w:jc w:val="left"/>
      </w:pPr>
      <w:r>
        <w:rPr>
          <w:spacing w:val="-1"/>
        </w:rPr>
        <w:t>（四）結案方式</w:t>
      </w:r>
    </w:p>
    <w:p>
      <w:pPr>
        <w:spacing w:after="0" w:line="240" w:lineRule="auto"/>
        <w:jc w:val="left"/>
        <w:sectPr>
          <w:pgSz w:w="11910" w:h="16840"/>
          <w:pgMar w:top="1500" w:bottom="280" w:left="1680" w:right="1620"/>
        </w:sectPr>
      </w:pPr>
    </w:p>
    <w:p>
      <w:pPr>
        <w:pStyle w:val="BodyText"/>
        <w:spacing w:line="314" w:lineRule="auto" w:before="0"/>
        <w:ind w:right="0"/>
        <w:jc w:val="left"/>
      </w:pPr>
      <w:r>
        <w:rPr>
          <w:spacing w:val="-2"/>
        </w:rPr>
        <w:t>預警作為案件應定期追蹤管考，有下列情形之一，經陳報本</w:t>
      </w:r>
      <w:r>
        <w:rPr>
          <w:spacing w:val="51"/>
        </w:rPr>
        <w:t> </w:t>
      </w:r>
      <w:r>
        <w:rPr>
          <w:spacing w:val="-1"/>
        </w:rPr>
        <w:t>署核准者，得予以結案；</w:t>
      </w:r>
      <w:r>
        <w:rPr>
          <w:spacing w:val="23"/>
        </w:rPr>
        <w:t> </w:t>
      </w:r>
      <w:r>
        <w:rPr>
          <w:spacing w:val="-2"/>
        </w:rPr>
        <w:t>１、經政風機構即時簽陳首長核定後，採取妥適預警作為並</w:t>
      </w:r>
    </w:p>
    <w:p>
      <w:pPr>
        <w:pStyle w:val="BodyText"/>
        <w:spacing w:line="314" w:lineRule="auto"/>
        <w:ind w:right="0" w:firstLine="559"/>
        <w:jc w:val="left"/>
        <w:rPr>
          <w:rFonts w:ascii="標楷體" w:hAnsi="標楷體" w:cs="標楷體" w:eastAsia="標楷體"/>
        </w:rPr>
      </w:pPr>
      <w:r>
        <w:rPr>
          <w:spacing w:val="-1"/>
        </w:rPr>
        <w:t>發揮效益，主管機關政風機構審酌認得以解除列管。</w:t>
      </w:r>
      <w:r>
        <w:rPr>
          <w:spacing w:val="23"/>
        </w:rPr>
        <w:t> </w:t>
      </w:r>
      <w:r>
        <w:rPr>
          <w:spacing w:val="-2"/>
        </w:rPr>
        <w:t>２、評估提列之風險事件及人員，風險顯著降低，追蹤逾</w:t>
      </w:r>
      <w:r>
        <w:rPr>
          <w:spacing w:val="-68"/>
        </w:rPr>
        <w:t> </w:t>
      </w:r>
      <w:r>
        <w:rPr>
          <w:rFonts w:ascii="標楷體" w:hAnsi="標楷體" w:cs="標楷體" w:eastAsia="標楷體"/>
        </w:rPr>
        <w:t>6</w:t>
      </w:r>
    </w:p>
    <w:p>
      <w:pPr>
        <w:pStyle w:val="BodyText"/>
        <w:spacing w:line="314" w:lineRule="auto"/>
        <w:ind w:left="1639" w:right="0"/>
        <w:jc w:val="left"/>
      </w:pPr>
      <w:r>
        <w:rPr/>
        <w:t>個月後</w:t>
      </w:r>
      <w:r>
        <w:rPr>
          <w:rFonts w:ascii="標楷體" w:hAnsi="標楷體" w:cs="標楷體" w:eastAsia="標楷體"/>
          <w:spacing w:val="-2"/>
        </w:rPr>
        <w:t>(</w:t>
      </w:r>
      <w:r>
        <w:rPr/>
        <w:t>必</w:t>
      </w:r>
      <w:r>
        <w:rPr>
          <w:spacing w:val="-3"/>
        </w:rPr>
        <w:t>要</w:t>
      </w:r>
      <w:r>
        <w:rPr/>
        <w:t>時得</w:t>
      </w:r>
      <w:r>
        <w:rPr>
          <w:spacing w:val="-3"/>
        </w:rPr>
        <w:t>延</w:t>
      </w:r>
      <w:r>
        <w:rPr/>
        <w:t>長</w:t>
      </w:r>
      <w:r>
        <w:rPr>
          <w:rFonts w:ascii="標楷體" w:hAnsi="標楷體" w:cs="標楷體" w:eastAsia="標楷體"/>
          <w:spacing w:val="-38"/>
        </w:rPr>
        <w:t>)</w:t>
      </w:r>
      <w:r>
        <w:rPr>
          <w:spacing w:val="-36"/>
        </w:rPr>
        <w:t>，</w:t>
      </w:r>
      <w:r>
        <w:rPr>
          <w:spacing w:val="-3"/>
        </w:rPr>
        <w:t>認</w:t>
      </w:r>
      <w:r>
        <w:rPr/>
        <w:t>無後</w:t>
      </w:r>
      <w:r>
        <w:rPr>
          <w:spacing w:val="-3"/>
        </w:rPr>
        <w:t>續</w:t>
      </w:r>
      <w:r>
        <w:rPr/>
        <w:t>追</w:t>
      </w:r>
      <w:r>
        <w:rPr>
          <w:spacing w:val="-3"/>
        </w:rPr>
        <w:t>蹤</w:t>
      </w:r>
      <w:r>
        <w:rPr/>
        <w:t>之必要</w:t>
      </w:r>
      <w:r>
        <w:rPr>
          <w:rFonts w:ascii="標楷體" w:hAnsi="標楷體" w:cs="標楷體" w:eastAsia="標楷體"/>
          <w:spacing w:val="-1"/>
        </w:rPr>
        <w:t>(</w:t>
      </w:r>
      <w:r>
        <w:rPr/>
        <w:t>如</w:t>
      </w:r>
      <w:r>
        <w:rPr>
          <w:spacing w:val="-3"/>
        </w:rPr>
        <w:t>相</w:t>
      </w:r>
      <w:r>
        <w:rPr/>
        <w:t>關人</w:t>
      </w:r>
      <w:r>
        <w:rPr/>
        <w:t> </w:t>
      </w:r>
      <w:r>
        <w:rPr>
          <w:spacing w:val="-1"/>
        </w:rPr>
        <w:t>員離職、退休、調職等</w:t>
      </w:r>
      <w:r>
        <w:rPr>
          <w:rFonts w:ascii="標楷體" w:hAnsi="標楷體" w:cs="標楷體" w:eastAsia="標楷體"/>
          <w:spacing w:val="-1"/>
        </w:rPr>
        <w:t>)</w:t>
      </w:r>
      <w:r>
        <w:rPr>
          <w:spacing w:val="-1"/>
        </w:rPr>
        <w:t>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３、政風機構知悉本署或其他司法機關開始偵查者。</w:t>
      </w:r>
    </w:p>
    <w:p>
      <w:pPr>
        <w:pStyle w:val="BodyText"/>
        <w:spacing w:line="314" w:lineRule="auto" w:before="114"/>
        <w:ind w:left="120" w:right="0" w:firstLine="959"/>
        <w:jc w:val="left"/>
      </w:pPr>
      <w:r>
        <w:rPr>
          <w:spacing w:val="-1"/>
        </w:rPr>
        <w:t>４、其他經本署防貪組敘明理由得解除列管。</w:t>
      </w:r>
      <w:r>
        <w:rPr>
          <w:spacing w:val="23"/>
        </w:rPr>
        <w:t> </w:t>
      </w:r>
      <w:r>
        <w:rPr>
          <w:spacing w:val="-5"/>
        </w:rPr>
        <w:t>五、政風機構提出預警作為，惟未獲機關首長採納，應層報上級機關</w:t>
      </w:r>
    </w:p>
    <w:p>
      <w:pPr>
        <w:pStyle w:val="BodyText"/>
        <w:spacing w:line="314" w:lineRule="auto"/>
        <w:ind w:left="679" w:right="115"/>
        <w:jc w:val="both"/>
      </w:pPr>
      <w:r>
        <w:rPr>
          <w:spacing w:val="-5"/>
        </w:rPr>
        <w:t>政風機構依本原則處理，若仍無法發揮預警效果時，則由主管機</w:t>
      </w:r>
      <w:r>
        <w:rPr>
          <w:spacing w:val="47"/>
        </w:rPr>
        <w:t> </w:t>
      </w:r>
      <w:r>
        <w:rPr/>
        <w:t>關政風</w:t>
      </w:r>
      <w:r>
        <w:rPr>
          <w:spacing w:val="-3"/>
        </w:rPr>
        <w:t>機</w:t>
      </w:r>
      <w:r>
        <w:rPr/>
        <w:t>構陳</w:t>
      </w:r>
      <w:r>
        <w:rPr>
          <w:spacing w:val="-3"/>
        </w:rPr>
        <w:t>報本</w:t>
      </w:r>
      <w:r>
        <w:rPr>
          <w:spacing w:val="-48"/>
        </w:rPr>
        <w:t>署；</w:t>
      </w:r>
      <w:r>
        <w:rPr/>
        <w:t>政風機構</w:t>
      </w:r>
      <w:r>
        <w:rPr>
          <w:spacing w:val="-3"/>
        </w:rPr>
        <w:t>遇</w:t>
      </w:r>
      <w:r>
        <w:rPr/>
        <w:t>風</w:t>
      </w:r>
      <w:r>
        <w:rPr>
          <w:spacing w:val="-3"/>
        </w:rPr>
        <w:t>險</w:t>
      </w:r>
      <w:r>
        <w:rPr/>
        <w:t>事件或</w:t>
      </w:r>
      <w:r>
        <w:rPr>
          <w:spacing w:val="-3"/>
        </w:rPr>
        <w:t>人</w:t>
      </w:r>
      <w:r>
        <w:rPr/>
        <w:t>員涉</w:t>
      </w:r>
      <w:r>
        <w:rPr>
          <w:spacing w:val="-3"/>
        </w:rPr>
        <w:t>及機</w:t>
      </w:r>
      <w:r>
        <w:rPr/>
        <w:t>關首長</w:t>
      </w:r>
      <w:r>
        <w:rPr/>
        <w:t> </w:t>
      </w:r>
      <w:r>
        <w:rPr>
          <w:spacing w:val="-1"/>
        </w:rPr>
        <w:t>時，亦同。</w:t>
      </w:r>
    </w:p>
    <w:p>
      <w:pPr>
        <w:pStyle w:val="BodyText"/>
        <w:spacing w:line="314" w:lineRule="auto"/>
        <w:ind w:left="679" w:right="0" w:hanging="560"/>
        <w:jc w:val="left"/>
      </w:pPr>
      <w:r>
        <w:rPr>
          <w:spacing w:val="-5"/>
        </w:rPr>
        <w:t>六、預警作為案件分案前，宜運用本系統瞭解有無前案，以免同一案</w:t>
      </w:r>
      <w:r>
        <w:rPr>
          <w:spacing w:val="55"/>
        </w:rPr>
        <w:t> </w:t>
      </w:r>
      <w:r>
        <w:rPr>
          <w:spacing w:val="-1"/>
        </w:rPr>
        <w:t>件重複分案。</w:t>
      </w:r>
    </w:p>
    <w:p>
      <w:pPr>
        <w:pStyle w:val="BodyText"/>
        <w:spacing w:line="314" w:lineRule="auto"/>
        <w:ind w:left="679" w:right="0" w:hanging="560"/>
        <w:jc w:val="left"/>
      </w:pPr>
      <w:r>
        <w:rPr>
          <w:spacing w:val="-5"/>
        </w:rPr>
        <w:t>七、同一案件之後續發展，接續登錄相關資料於本系統，主管機關政</w:t>
      </w:r>
      <w:r>
        <w:rPr>
          <w:spacing w:val="55"/>
        </w:rPr>
        <w:t> </w:t>
      </w:r>
      <w:r>
        <w:rPr>
          <w:spacing w:val="-1"/>
        </w:rPr>
        <w:t>風機構陳報之函文併前案辦理，免再分案。</w:t>
      </w:r>
    </w:p>
    <w:p>
      <w:pPr>
        <w:pStyle w:val="BodyText"/>
        <w:spacing w:line="314" w:lineRule="auto"/>
        <w:ind w:left="679" w:right="0" w:hanging="560"/>
        <w:jc w:val="left"/>
      </w:pPr>
      <w:r>
        <w:rPr>
          <w:spacing w:val="-4"/>
        </w:rPr>
        <w:t>八、預警作為案件涉及數個主管機關政風機構時，以不同案號發交各</w:t>
      </w:r>
      <w:r>
        <w:rPr>
          <w:spacing w:val="21"/>
        </w:rPr>
        <w:t> </w:t>
      </w:r>
      <w:r>
        <w:rPr>
          <w:spacing w:val="-1"/>
        </w:rPr>
        <w:t>權責主管機關政風機構分別處理。</w:t>
      </w:r>
    </w:p>
    <w:p>
      <w:pPr>
        <w:pStyle w:val="BodyText"/>
        <w:spacing w:line="314" w:lineRule="auto"/>
        <w:ind w:left="120" w:right="0"/>
        <w:jc w:val="left"/>
      </w:pPr>
      <w:r>
        <w:rPr>
          <w:spacing w:val="-1"/>
        </w:rPr>
        <w:t>九、預警作為案件件數按月納入本署業務統計，並對外公布。</w:t>
      </w:r>
      <w:r>
        <w:rPr>
          <w:spacing w:val="21"/>
        </w:rPr>
        <w:t> </w:t>
      </w:r>
      <w:r>
        <w:rPr>
          <w:spacing w:val="-2"/>
        </w:rPr>
        <w:t>十、本原則執行成效，列入政風機構績效評比重點項目。</w:t>
      </w:r>
      <w:r>
        <w:rPr>
          <w:spacing w:val="47"/>
        </w:rPr>
        <w:t> </w:t>
      </w:r>
      <w:r>
        <w:rPr>
          <w:spacing w:val="-1"/>
        </w:rPr>
        <w:t>十一、本原則簽奉署長核准後實施，修正時亦同。</w:t>
      </w:r>
    </w:p>
    <w:sectPr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6"/>
      <w:ind w:left="1080"/>
    </w:pPr>
    <w:rPr>
      <w:rFonts w:ascii="標楷體" w:hAnsi="標楷體" w:eastAsia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dcterms:created xsi:type="dcterms:W3CDTF">2018-08-06T14:41:20Z</dcterms:created>
  <dcterms:modified xsi:type="dcterms:W3CDTF">2018-08-06T14:41:20Z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2013-10-11T00:00:00Z</vt:filetime>
  </property>
  <property fmtid="{D5CDD505-2E9C-101B-9397-08002B2CF9AE}" pid="3" name="LastSaved">
    <vt:filetime>2018-08-06T00:00:00Z</vt:filetime>
  </property>
</Properties>
</file>